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100"/>
      </w:pPr>
      <w:r>
        <w:rPr>
          <w:rFonts w:ascii="Aptos" w:hAnsi="Aptos"/>
          <w:b/>
          <w:color w:val="1F4E79"/>
          <w:sz w:val="50"/>
        </w:rPr>
        <w:t>KOMUNIKACIJSKI NAČRT</w:t>
      </w:r>
    </w:p>
    <w:p>
      <w:pPr>
        <w:spacing w:after="80"/>
      </w:pPr>
      <w:r>
        <w:rPr>
          <w:rFonts w:ascii="Aptos" w:hAnsi="Aptos"/>
          <w:b/>
          <w:color w:val="17365D"/>
          <w:sz w:val="30"/>
        </w:rPr>
        <w:t>Participativno agentno modeliranje za obvladovanje poplavne ogroženosti</w:t>
      </w:r>
    </w:p>
    <w:p>
      <w:pPr>
        <w:spacing w:after="360"/>
      </w:pPr>
      <w:r>
        <w:rPr>
          <w:rFonts w:ascii="Aptos" w:hAnsi="Aptos"/>
          <w:b/>
          <w:color w:val="595959"/>
          <w:sz w:val="23"/>
        </w:rPr>
        <w:t>PABM-FLOOD  |  ARIS Z6-70200</w:t>
      </w:r>
    </w:p>
    <w:tbl>
      <w:tblPr>
        <w:tblStyle w:val="TableGrid"/>
        <w:tblW w:type="auto" w:w="0"/>
        <w:jc w:val="center"/>
        <w:tblLayout w:type="fixed"/>
        <w:tblLook w:firstColumn="1" w:firstRow="1" w:lastColumn="0" w:lastRow="0" w:noHBand="0" w:noVBand="1" w:val="04A0"/>
      </w:tblPr>
      <w:tblGrid>
        <w:gridCol w:w="4762"/>
        <w:gridCol w:w="4762"/>
      </w:tblGrid>
      <w:tr>
        <w:trPr>
          <w:tblHeader w:val="true"/>
        </w:trPr>
        <w:tc>
          <w:tcPr>
            <w:tcW w:type="dxa" w:w="2835"/>
            <w:shd w:fill="1F4E79"/>
            <w:tcMar>
              <w:top w:w="100" w:type="dxa"/>
              <w:start w:w="120" w:type="dxa"/>
              <w:bottom w:w="100" w:type="dxa"/>
              <w:end w:w="120" w:type="dxa"/>
            </w:tcMar>
            <w:vAlign w:val="center"/>
          </w:tcPr>
          <w:p>
            <w:pPr>
              <w:widowControl/>
              <w:spacing w:after="0"/>
              <w:jc w:val="left"/>
            </w:pPr>
            <w:r>
              <w:rPr>
                <w:rFonts w:ascii="Aptos" w:hAnsi="Aptos"/>
                <w:b/>
                <w:color w:val="FFFFFF"/>
                <w:sz w:val="19"/>
              </w:rPr>
              <w:t>Podatek</w:t>
            </w:r>
          </w:p>
        </w:tc>
        <w:tc>
          <w:tcPr>
            <w:tcW w:type="dxa" w:w="6690"/>
            <w:shd w:fill="1F4E79"/>
            <w:tcMar>
              <w:top w:w="100" w:type="dxa"/>
              <w:start w:w="120" w:type="dxa"/>
              <w:bottom w:w="100" w:type="dxa"/>
              <w:end w:w="120" w:type="dxa"/>
            </w:tcMar>
            <w:vAlign w:val="center"/>
          </w:tcPr>
          <w:p>
            <w:pPr>
              <w:widowControl/>
              <w:spacing w:after="0"/>
              <w:jc w:val="left"/>
            </w:pPr>
            <w:r>
              <w:rPr>
                <w:rFonts w:ascii="Aptos" w:hAnsi="Aptos"/>
                <w:b/>
                <w:color w:val="FFFFFF"/>
                <w:sz w:val="19"/>
              </w:rPr>
              <w:t>Vsebina</w:t>
            </w:r>
          </w:p>
        </w:tc>
      </w:tr>
      <w:tr>
        <w:trPr/>
        <w:tc>
          <w:tcPr>
            <w:tcW w:type="dxa" w:w="2835"/>
            <w:tcMar>
              <w:top w:w="100" w:type="dxa"/>
              <w:start w:w="120" w:type="dxa"/>
              <w:bottom w:w="100" w:type="dxa"/>
              <w:end w:w="120" w:type="dxa"/>
            </w:tcMar>
            <w:vAlign w:val="center"/>
          </w:tcPr>
          <w:p>
            <w:pPr>
              <w:widowControl/>
              <w:spacing w:after="0" w:line="252" w:lineRule="auto"/>
            </w:pPr>
            <w:r>
              <w:rPr>
                <w:rFonts w:ascii="Aptos" w:hAnsi="Aptos"/>
                <w:sz w:val="18"/>
              </w:rPr>
              <w:t>Oznaka in naziv projekta</w:t>
            </w:r>
          </w:p>
        </w:tc>
        <w:tc>
          <w:tcPr>
            <w:tcW w:type="dxa" w:w="6690"/>
            <w:tcMar>
              <w:top w:w="100" w:type="dxa"/>
              <w:start w:w="120" w:type="dxa"/>
              <w:bottom w:w="100" w:type="dxa"/>
              <w:end w:w="120" w:type="dxa"/>
            </w:tcMar>
            <w:vAlign w:val="center"/>
          </w:tcPr>
          <w:p>
            <w:pPr>
              <w:widowControl/>
              <w:spacing w:after="0" w:line="252" w:lineRule="auto"/>
            </w:pPr>
            <w:r>
              <w:rPr>
                <w:rFonts w:ascii="Aptos" w:hAnsi="Aptos"/>
                <w:sz w:val="18"/>
              </w:rPr>
              <w:t>Z6-70200 – Participativno agentno modeliranje za obvladovanje poplavne ogroženosti</w:t>
            </w:r>
          </w:p>
        </w:tc>
      </w:tr>
      <w:tr>
        <w:trPr/>
        <w:tc>
          <w:tcPr>
            <w:tcW w:type="dxa" w:w="2835"/>
            <w:tcMar>
              <w:top w:w="100" w:type="dxa"/>
              <w:start w:w="120" w:type="dxa"/>
              <w:bottom w:w="100" w:type="dxa"/>
              <w:end w:w="120" w:type="dxa"/>
            </w:tcMar>
            <w:vAlign w:val="center"/>
            <w:shd w:fill="F5F7FA"/>
          </w:tcPr>
          <w:p>
            <w:pPr>
              <w:widowControl/>
              <w:spacing w:after="0" w:line="252" w:lineRule="auto"/>
            </w:pPr>
            <w:r>
              <w:rPr>
                <w:rFonts w:ascii="Aptos" w:hAnsi="Aptos"/>
                <w:sz w:val="18"/>
              </w:rPr>
              <w:t>Akronim</w:t>
            </w:r>
          </w:p>
        </w:tc>
        <w:tc>
          <w:tcPr>
            <w:tcW w:type="dxa" w:w="6690"/>
            <w:tcMar>
              <w:top w:w="100" w:type="dxa"/>
              <w:start w:w="120" w:type="dxa"/>
              <w:bottom w:w="100" w:type="dxa"/>
              <w:end w:w="120" w:type="dxa"/>
            </w:tcMar>
            <w:vAlign w:val="center"/>
            <w:shd w:fill="F5F7FA"/>
          </w:tcPr>
          <w:p>
            <w:pPr>
              <w:widowControl/>
              <w:spacing w:after="0" w:line="252" w:lineRule="auto"/>
            </w:pPr>
            <w:r>
              <w:rPr>
                <w:rFonts w:ascii="Aptos" w:hAnsi="Aptos"/>
                <w:sz w:val="18"/>
              </w:rPr>
              <w:t>PABM-FLOOD</w:t>
            </w:r>
          </w:p>
        </w:tc>
      </w:tr>
      <w:tr>
        <w:trPr/>
        <w:tc>
          <w:tcPr>
            <w:tcW w:type="dxa" w:w="2835"/>
            <w:tcMar>
              <w:top w:w="100" w:type="dxa"/>
              <w:start w:w="120" w:type="dxa"/>
              <w:bottom w:w="100" w:type="dxa"/>
              <w:end w:w="120" w:type="dxa"/>
            </w:tcMar>
            <w:vAlign w:val="center"/>
          </w:tcPr>
          <w:p>
            <w:pPr>
              <w:widowControl/>
              <w:spacing w:after="0" w:line="252" w:lineRule="auto"/>
            </w:pPr>
            <w:r>
              <w:rPr>
                <w:rFonts w:ascii="Aptos" w:hAnsi="Aptos"/>
                <w:sz w:val="18"/>
              </w:rPr>
              <w:t>Izvajalska organizacija</w:t>
            </w:r>
          </w:p>
        </w:tc>
        <w:tc>
          <w:tcPr>
            <w:tcW w:type="dxa" w:w="6690"/>
            <w:tcMar>
              <w:top w:w="100" w:type="dxa"/>
              <w:start w:w="120" w:type="dxa"/>
              <w:bottom w:w="100" w:type="dxa"/>
              <w:end w:w="120" w:type="dxa"/>
            </w:tcMar>
            <w:vAlign w:val="center"/>
          </w:tcPr>
          <w:p>
            <w:pPr>
              <w:widowControl/>
              <w:spacing w:after="0" w:line="252" w:lineRule="auto"/>
            </w:pPr>
            <w:r>
              <w:rPr>
                <w:rFonts w:ascii="Aptos" w:hAnsi="Aptos"/>
                <w:sz w:val="18"/>
              </w:rPr>
              <w:t>Institut »Jožef Stefan« (IJS)</w:t>
            </w:r>
          </w:p>
        </w:tc>
      </w:tr>
      <w:tr>
        <w:trPr/>
        <w:tc>
          <w:tcPr>
            <w:tcW w:type="dxa" w:w="2835"/>
            <w:tcMar>
              <w:top w:w="100" w:type="dxa"/>
              <w:start w:w="120" w:type="dxa"/>
              <w:bottom w:w="100" w:type="dxa"/>
              <w:end w:w="120" w:type="dxa"/>
            </w:tcMar>
            <w:vAlign w:val="center"/>
            <w:shd w:fill="F5F7FA"/>
          </w:tcPr>
          <w:p>
            <w:pPr>
              <w:widowControl/>
              <w:spacing w:after="0" w:line="252" w:lineRule="auto"/>
            </w:pPr>
            <w:r>
              <w:rPr>
                <w:rFonts w:ascii="Aptos" w:hAnsi="Aptos"/>
                <w:sz w:val="18"/>
              </w:rPr>
              <w:t>Trajanje projekta</w:t>
            </w:r>
          </w:p>
        </w:tc>
        <w:tc>
          <w:tcPr>
            <w:tcW w:type="dxa" w:w="6690"/>
            <w:tcMar>
              <w:top w:w="100" w:type="dxa"/>
              <w:start w:w="120" w:type="dxa"/>
              <w:bottom w:w="100" w:type="dxa"/>
              <w:end w:w="120" w:type="dxa"/>
            </w:tcMar>
            <w:vAlign w:val="center"/>
            <w:shd w:fill="F5F7FA"/>
          </w:tcPr>
          <w:p>
            <w:pPr>
              <w:widowControl/>
              <w:spacing w:after="0" w:line="252" w:lineRule="auto"/>
            </w:pPr>
            <w:r>
              <w:rPr>
                <w:rFonts w:ascii="Aptos" w:hAnsi="Aptos"/>
                <w:sz w:val="18"/>
              </w:rPr>
              <w:t>1. 3. 2026–28. 2. 2028</w:t>
            </w:r>
          </w:p>
        </w:tc>
      </w:tr>
      <w:tr>
        <w:trPr/>
        <w:tc>
          <w:tcPr>
            <w:tcW w:type="dxa" w:w="2835"/>
            <w:tcMar>
              <w:top w:w="100" w:type="dxa"/>
              <w:start w:w="120" w:type="dxa"/>
              <w:bottom w:w="100" w:type="dxa"/>
              <w:end w:w="120" w:type="dxa"/>
            </w:tcMar>
            <w:vAlign w:val="center"/>
          </w:tcPr>
          <w:p>
            <w:pPr>
              <w:widowControl/>
              <w:spacing w:after="0" w:line="252" w:lineRule="auto"/>
            </w:pPr>
            <w:r>
              <w:rPr>
                <w:rFonts w:ascii="Aptos" w:hAnsi="Aptos"/>
                <w:sz w:val="18"/>
              </w:rPr>
              <w:t>Vodja projekta</w:t>
            </w:r>
          </w:p>
        </w:tc>
        <w:tc>
          <w:tcPr>
            <w:tcW w:type="dxa" w:w="6690"/>
            <w:tcMar>
              <w:top w:w="100" w:type="dxa"/>
              <w:start w:w="120" w:type="dxa"/>
              <w:bottom w:w="100" w:type="dxa"/>
              <w:end w:w="120" w:type="dxa"/>
            </w:tcMar>
            <w:vAlign w:val="center"/>
          </w:tcPr>
          <w:p>
            <w:pPr>
              <w:widowControl/>
              <w:spacing w:after="0" w:line="252" w:lineRule="auto"/>
            </w:pPr>
            <w:r>
              <w:rPr>
                <w:rFonts w:ascii="Aptos" w:hAnsi="Aptos"/>
                <w:sz w:val="18"/>
              </w:rPr>
              <w:t>Rok Novak (šifra raziskovalca 53460)</w:t>
            </w:r>
          </w:p>
        </w:tc>
      </w:tr>
      <w:tr>
        <w:trPr/>
        <w:tc>
          <w:tcPr>
            <w:tcW w:type="dxa" w:w="2835"/>
            <w:tcMar>
              <w:top w:w="100" w:type="dxa"/>
              <w:start w:w="120" w:type="dxa"/>
              <w:bottom w:w="100" w:type="dxa"/>
              <w:end w:w="120" w:type="dxa"/>
            </w:tcMar>
            <w:vAlign w:val="center"/>
            <w:shd w:fill="F5F7FA"/>
          </w:tcPr>
          <w:p>
            <w:pPr>
              <w:widowControl/>
              <w:spacing w:after="0" w:line="252" w:lineRule="auto"/>
            </w:pPr>
            <w:r>
              <w:rPr>
                <w:rFonts w:ascii="Aptos" w:hAnsi="Aptos"/>
                <w:sz w:val="18"/>
              </w:rPr>
              <w:t>Projektni partnerji</w:t>
            </w:r>
          </w:p>
        </w:tc>
        <w:tc>
          <w:tcPr>
            <w:tcW w:type="dxa" w:w="6690"/>
            <w:tcMar>
              <w:top w:w="100" w:type="dxa"/>
              <w:start w:w="120" w:type="dxa"/>
              <w:bottom w:w="100" w:type="dxa"/>
              <w:end w:w="120" w:type="dxa"/>
            </w:tcMar>
            <w:vAlign w:val="center"/>
            <w:shd w:fill="F5F7FA"/>
          </w:tcPr>
          <w:p>
            <w:pPr>
              <w:widowControl/>
              <w:spacing w:after="0" w:line="252" w:lineRule="auto"/>
            </w:pPr>
            <w:r>
              <w:rPr>
                <w:rFonts w:ascii="Aptos" w:hAnsi="Aptos"/>
                <w:sz w:val="18"/>
              </w:rPr>
              <w:t>Projekt nima formalnih partnerjev. Izvaja ga IJS; predvideno je sodelovanje z LIFE2Rivers ter drugimi relevantnimi projekti in pobudami.</w:t>
            </w:r>
          </w:p>
        </w:tc>
      </w:tr>
      <w:tr>
        <w:trPr/>
        <w:tc>
          <w:tcPr>
            <w:tcW w:type="dxa" w:w="2835"/>
            <w:tcMar>
              <w:top w:w="100" w:type="dxa"/>
              <w:start w:w="120" w:type="dxa"/>
              <w:bottom w:w="100" w:type="dxa"/>
              <w:end w:w="120" w:type="dxa"/>
            </w:tcMar>
            <w:vAlign w:val="center"/>
          </w:tcPr>
          <w:p>
            <w:pPr>
              <w:widowControl/>
              <w:spacing w:after="0" w:line="252" w:lineRule="auto"/>
            </w:pPr>
            <w:r>
              <w:rPr>
                <w:rFonts w:ascii="Aptos" w:hAnsi="Aptos"/>
                <w:sz w:val="18"/>
              </w:rPr>
              <w:t>Različica dokumenta</w:t>
            </w:r>
          </w:p>
        </w:tc>
        <w:tc>
          <w:tcPr>
            <w:tcW w:type="dxa" w:w="6690"/>
            <w:tcMar>
              <w:top w:w="100" w:type="dxa"/>
              <w:start w:w="120" w:type="dxa"/>
              <w:bottom w:w="100" w:type="dxa"/>
              <w:end w:w="120" w:type="dxa"/>
            </w:tcMar>
            <w:vAlign w:val="center"/>
          </w:tcPr>
          <w:p>
            <w:pPr>
              <w:widowControl/>
              <w:spacing w:after="0" w:line="252" w:lineRule="auto"/>
            </w:pPr>
            <w:r>
              <w:rPr>
                <w:rFonts w:ascii="Aptos" w:hAnsi="Aptos"/>
                <w:sz w:val="18"/>
              </w:rPr>
              <w:t>1.0</w:t>
            </w:r>
          </w:p>
        </w:tc>
      </w:tr>
      <w:tr>
        <w:trPr/>
        <w:tc>
          <w:tcPr>
            <w:tcW w:type="dxa" w:w="2835"/>
            <w:tcMar>
              <w:top w:w="100" w:type="dxa"/>
              <w:start w:w="120" w:type="dxa"/>
              <w:bottom w:w="100" w:type="dxa"/>
              <w:end w:w="120" w:type="dxa"/>
            </w:tcMar>
            <w:vAlign w:val="center"/>
            <w:shd w:fill="F5F7FA"/>
          </w:tcPr>
          <w:p>
            <w:pPr>
              <w:widowControl/>
              <w:spacing w:after="0" w:line="252" w:lineRule="auto"/>
            </w:pPr>
            <w:r>
              <w:rPr>
                <w:rFonts w:ascii="Aptos" w:hAnsi="Aptos"/>
                <w:sz w:val="18"/>
              </w:rPr>
              <w:t>Datum</w:t>
            </w:r>
          </w:p>
        </w:tc>
        <w:tc>
          <w:tcPr>
            <w:tcW w:type="dxa" w:w="6690"/>
            <w:tcMar>
              <w:top w:w="100" w:type="dxa"/>
              <w:start w:w="120" w:type="dxa"/>
              <w:bottom w:w="100" w:type="dxa"/>
              <w:end w:w="120" w:type="dxa"/>
            </w:tcMar>
            <w:vAlign w:val="center"/>
            <w:shd w:fill="F5F7FA"/>
          </w:tcPr>
          <w:p>
            <w:pPr>
              <w:widowControl/>
              <w:spacing w:after="0" w:line="252" w:lineRule="auto"/>
            </w:pPr>
            <w:r>
              <w:rPr>
                <w:rFonts w:ascii="Aptos" w:hAnsi="Aptos"/>
                <w:sz w:val="18"/>
              </w:rPr>
              <w:t>avgust 2026</w:t>
            </w:r>
          </w:p>
        </w:tc>
      </w:tr>
      <w:tr>
        <w:trPr/>
        <w:tc>
          <w:tcPr>
            <w:tcW w:type="dxa" w:w="2835"/>
            <w:tcMar>
              <w:top w:w="100" w:type="dxa"/>
              <w:start w:w="120" w:type="dxa"/>
              <w:bottom w:w="100" w:type="dxa"/>
              <w:end w:w="120" w:type="dxa"/>
            </w:tcMar>
            <w:vAlign w:val="center"/>
          </w:tcPr>
          <w:p>
            <w:pPr>
              <w:widowControl/>
              <w:spacing w:after="0" w:line="252" w:lineRule="auto"/>
            </w:pPr>
            <w:r>
              <w:rPr>
                <w:rFonts w:ascii="Aptos" w:hAnsi="Aptos"/>
                <w:sz w:val="18"/>
              </w:rPr>
              <w:t>Dokument pripravil</w:t>
            </w:r>
          </w:p>
        </w:tc>
        <w:tc>
          <w:tcPr>
            <w:tcW w:type="dxa" w:w="6690"/>
            <w:tcMar>
              <w:top w:w="100" w:type="dxa"/>
              <w:start w:w="120" w:type="dxa"/>
              <w:bottom w:w="100" w:type="dxa"/>
              <w:end w:w="120" w:type="dxa"/>
            </w:tcMar>
            <w:vAlign w:val="center"/>
          </w:tcPr>
          <w:p>
            <w:pPr>
              <w:widowControl/>
              <w:spacing w:after="0" w:line="252" w:lineRule="auto"/>
            </w:pPr>
            <w:r>
              <w:rPr>
                <w:rFonts w:ascii="Aptos" w:hAnsi="Aptos"/>
                <w:sz w:val="18"/>
              </w:rPr>
              <w:t>Rok Novak, rok.novak@ijs.si</w:t>
            </w:r>
          </w:p>
        </w:tc>
      </w:tr>
    </w:tbl>
    <w:p>
      <w:pPr>
        <w:spacing w:after="0"/>
      </w:pPr>
    </w:p>
    <w:p>
      <w:pPr>
        <w:spacing w:before="100" w:after="0"/>
      </w:pPr>
      <w:r>
        <w:rPr>
          <w:rFonts w:ascii="Aptos" w:hAnsi="Aptos"/>
          <w:b/>
          <w:color w:val="17365D"/>
        </w:rPr>
        <w:t xml:space="preserve">Projektna stran: </w:t>
      </w:r>
      <w:r>
        <w:rPr>
          <w:rFonts w:ascii="Aptos" w:hAnsi="Aptos"/>
          <w:color w:val="1F4E79"/>
        </w:rPr>
        <w:t>http://www.environment.si/en/projects/z6-70200/</w:t>
      </w:r>
    </w:p>
    <w:p>
      <w:r>
        <w:br w:type="page"/>
      </w:r>
    </w:p>
    <w:p>
      <w:pPr>
        <w:pStyle w:val="Heading1"/>
        <w:keepNext/>
      </w:pPr>
      <w:r>
        <w:t>Kazalo</w:t>
      </w:r>
    </w:p>
    <w:p>
      <w:pPr>
        <w:spacing w:after="80"/>
        <w:ind w:left="170" w:hanging="170"/>
      </w:pPr>
      <w:r>
        <w:rPr>
          <w:rFonts w:ascii="Aptos" w:hAnsi="Aptos"/>
          <w:sz w:val="21"/>
        </w:rPr>
        <w:t>1. Namen in cilji komuniciranja</w:t>
      </w:r>
    </w:p>
    <w:p>
      <w:pPr>
        <w:spacing w:after="80"/>
        <w:ind w:left="170" w:hanging="170"/>
      </w:pPr>
      <w:r>
        <w:rPr>
          <w:rFonts w:ascii="Aptos" w:hAnsi="Aptos"/>
          <w:sz w:val="21"/>
        </w:rPr>
        <w:t>2. Ciljne skupine</w:t>
      </w:r>
    </w:p>
    <w:p>
      <w:pPr>
        <w:spacing w:after="80"/>
        <w:ind w:left="170" w:hanging="170"/>
      </w:pPr>
      <w:r>
        <w:rPr>
          <w:rFonts w:ascii="Aptos" w:hAnsi="Aptos"/>
          <w:sz w:val="21"/>
        </w:rPr>
        <w:t>3. Ključna sporočila</w:t>
      </w:r>
    </w:p>
    <w:p>
      <w:pPr>
        <w:spacing w:after="80"/>
        <w:ind w:left="170" w:hanging="170"/>
      </w:pPr>
      <w:r>
        <w:rPr>
          <w:rFonts w:ascii="Aptos" w:hAnsi="Aptos"/>
          <w:sz w:val="21"/>
        </w:rPr>
        <w:t>4. Komunikacijski kanali in orodja</w:t>
      </w:r>
    </w:p>
    <w:p>
      <w:pPr>
        <w:spacing w:after="80"/>
        <w:ind w:left="170" w:hanging="170"/>
      </w:pPr>
      <w:r>
        <w:rPr>
          <w:rFonts w:ascii="Aptos" w:hAnsi="Aptos"/>
          <w:sz w:val="21"/>
        </w:rPr>
        <w:t>5. Časovni načrt komuniciranja</w:t>
      </w:r>
    </w:p>
    <w:p>
      <w:pPr>
        <w:spacing w:after="80"/>
        <w:ind w:left="170" w:hanging="170"/>
      </w:pPr>
      <w:r>
        <w:rPr>
          <w:rFonts w:ascii="Aptos" w:hAnsi="Aptos"/>
          <w:sz w:val="21"/>
        </w:rPr>
        <w:t>6. Odgovornosti</w:t>
      </w:r>
    </w:p>
    <w:p>
      <w:pPr>
        <w:spacing w:after="80"/>
        <w:ind w:left="170" w:hanging="170"/>
      </w:pPr>
      <w:r>
        <w:rPr>
          <w:rFonts w:ascii="Aptos" w:hAnsi="Aptos"/>
          <w:sz w:val="21"/>
        </w:rPr>
        <w:t>7. Kazalniki uspešnosti</w:t>
      </w:r>
    </w:p>
    <w:p>
      <w:pPr>
        <w:spacing w:after="80"/>
        <w:ind w:left="170" w:hanging="170"/>
      </w:pPr>
      <w:r>
        <w:rPr>
          <w:rFonts w:ascii="Aptos" w:hAnsi="Aptos"/>
          <w:sz w:val="21"/>
        </w:rPr>
        <w:t>8. Skladnost z zahtevami ARIS</w:t>
      </w:r>
    </w:p>
    <w:p>
      <w:pPr>
        <w:pStyle w:val="Heading1"/>
        <w:keepNext/>
      </w:pPr>
      <w:r>
        <w:t>1. Namen in cilji komuniciranja</w:t>
      </w:r>
    </w:p>
    <w:p>
      <w:pPr>
        <w:spacing w:after="120" w:line="264" w:lineRule="auto"/>
      </w:pPr>
      <w:r>
        <w:rPr>
          <w:rFonts w:ascii="Aptos" w:hAnsi="Aptos"/>
        </w:rPr>
        <w:t>Komuniciranje projekta PABM-FLOOD podpira raziskovalni proces, saj je vključevanje prebivalcev, lokalnih služb, odločevalcev in drugih deležnikov sestavni del participativnega agentnega modeliranja. Namen komuniciranja ni le predstavljanje rezultatov, temveč tudi pravočasno obveščanje o možnostih sodelovanja, pregledno pojasnjevanje metod in omejitev modela ter omogočanje uporabe rezultatov pri razumevanju in obvladovanju poplavne ogroženosti.</w:t>
      </w:r>
    </w:p>
    <w:p>
      <w:pPr>
        <w:spacing w:after="120" w:line="264" w:lineRule="auto"/>
      </w:pPr>
      <w:r>
        <w:rPr>
          <w:rFonts w:ascii="Aptos" w:hAnsi="Aptos"/>
        </w:rPr>
        <w:t>Komunikacijske aktivnosti bodo prilagojene fazam projekta in različnim ciljnim skupinam. Poseben poudarek bo na območju porečja Pšate oziroma občin Kamnik in Komenda, kjer bodo potekale participativne aktivnosti in preizkušanje pristopa.</w:t>
      </w:r>
    </w:p>
    <w:p>
      <w:pPr>
        <w:pStyle w:val="Heading2"/>
        <w:keepNext/>
      </w:pPr>
      <w:r>
        <w:t>Glavni cilj</w:t>
      </w:r>
    </w:p>
    <w:p>
      <w:pPr>
        <w:spacing w:after="120" w:line="264" w:lineRule="auto"/>
      </w:pPr>
      <w:r>
        <w:rPr>
          <w:rFonts w:ascii="Aptos" w:hAnsi="Aptos"/>
        </w:rPr>
        <w:t>Zagotoviti razumljivo, pregledno in ciljno usmerjeno komuniciranje raziskovalnih aktivnosti in rezultatov ter s tem podpreti vključevanje deležnikov, uporabo rezultatov v praksi, prepoznavnost projekta in zaupanje v participativne raziskovalne pristope.</w:t>
      </w:r>
    </w:p>
    <w:p>
      <w:pPr>
        <w:pStyle w:val="Heading2"/>
        <w:keepNext/>
      </w:pPr>
      <w:r>
        <w:t>Specifični cilji</w:t>
      </w:r>
    </w:p>
    <w:p>
      <w:pPr>
        <w:pStyle w:val="ListBullet"/>
        <w:spacing w:after="80" w:line="264" w:lineRule="auto"/>
      </w:pPr>
      <w:r>
        <w:rPr>
          <w:rFonts w:ascii="Aptos" w:hAnsi="Aptos"/>
        </w:rPr>
        <w:t>obveščati znanstveno in strokovno javnost o metodološkem razvoju ter rezultatih participativnega agentnega modeliranja poplavne ogroženosti;</w:t>
      </w:r>
    </w:p>
    <w:p>
      <w:pPr>
        <w:pStyle w:val="ListBullet"/>
        <w:spacing w:after="80" w:line="264" w:lineRule="auto"/>
      </w:pPr>
      <w:r>
        <w:rPr>
          <w:rFonts w:ascii="Aptos" w:hAnsi="Aptos"/>
        </w:rPr>
        <w:t>pridobiti in ohranjati sodelovanje lokalnih deležnikov pri zbiranju podatkov, soustvarjanju scenarijev ter validaciji modela;</w:t>
      </w:r>
    </w:p>
    <w:p>
      <w:pPr>
        <w:pStyle w:val="ListBullet"/>
        <w:spacing w:after="80" w:line="264" w:lineRule="auto"/>
      </w:pPr>
      <w:r>
        <w:rPr>
          <w:rFonts w:ascii="Aptos" w:hAnsi="Aptos"/>
        </w:rPr>
        <w:t>prebivalcem in širši javnosti razumljivo predstaviti, kako vedenje posameznikov, odzivanje služb, prostorske značilnosti in na naravi temelječe rešitve vplivajo na posledice poplav;</w:t>
      </w:r>
    </w:p>
    <w:p>
      <w:pPr>
        <w:pStyle w:val="ListBullet"/>
        <w:spacing w:after="80" w:line="264" w:lineRule="auto"/>
      </w:pPr>
      <w:r>
        <w:rPr>
          <w:rFonts w:ascii="Aptos" w:hAnsi="Aptos"/>
        </w:rPr>
        <w:t>odločevalcem in strokovnim službam predstaviti rezultate v obliki, ki lahko podpira razpravo, načrtovanje in preizkušanje ukrepov;</w:t>
      </w:r>
    </w:p>
    <w:p>
      <w:pPr>
        <w:pStyle w:val="ListBullet"/>
        <w:spacing w:after="80" w:line="264" w:lineRule="auto"/>
      </w:pPr>
      <w:r>
        <w:rPr>
          <w:rFonts w:ascii="Aptos" w:hAnsi="Aptos"/>
        </w:rPr>
        <w:t>zagotoviti odprto in odgovorno objavljanje rezultatov, podatkov, dokumentacije in kode v obsegu, ki ga dopuščajo varstvo osebnih podatkov, etične zahteve in pravice tretjih oseb;</w:t>
      </w:r>
    </w:p>
    <w:p>
      <w:pPr>
        <w:pStyle w:val="ListBullet"/>
        <w:spacing w:after="80" w:line="264" w:lineRule="auto"/>
      </w:pPr>
      <w:r>
        <w:rPr>
          <w:rFonts w:ascii="Aptos" w:hAnsi="Aptos"/>
        </w:rPr>
        <w:t>krepiti prepoznavnost raziskovalnega področja, raziskovalne skupine in IJS ter smiselno povezovati projekt z LIFE2Rivers in drugimi sorodnimi pobudami.</w:t>
      </w:r>
    </w:p>
    <w:p>
      <w:pPr>
        <w:pStyle w:val="Heading1"/>
        <w:keepNext/>
      </w:pPr>
      <w:r>
        <w:t>2. Ciljne skupine</w:t>
      </w:r>
    </w:p>
    <w:p>
      <w:pPr>
        <w:spacing w:after="120" w:line="264" w:lineRule="auto"/>
      </w:pPr>
      <w:r>
        <w:rPr>
          <w:rFonts w:ascii="Aptos" w:hAnsi="Aptos"/>
        </w:rPr>
        <w:t>Primarne ciljne skupine so tiste, ki sodelujejo pri raziskovalnih aktivnostih ali lahko rezultate neposredno uporabijo. Sekundarne skupine so pomembne predvsem za širjenje znanja, javno razumevanje in dolgoročnejši prenos pristopa.</w:t>
      </w:r>
    </w:p>
    <w:tbl>
      <w:tblPr>
        <w:tblStyle w:val="TableGrid"/>
        <w:tblW w:type="auto" w:w="0"/>
        <w:jc w:val="center"/>
        <w:tblLayout w:type="fixed"/>
        <w:tblLook w:firstColumn="1" w:firstRow="1" w:lastColumn="0" w:lastRow="0" w:noHBand="0" w:noVBand="1" w:val="04A0"/>
      </w:tblPr>
      <w:tblGrid>
        <w:gridCol w:w="3175"/>
        <w:gridCol w:w="3175"/>
        <w:gridCol w:w="3175"/>
      </w:tblGrid>
      <w:tr>
        <w:trPr>
          <w:tblHeader w:val="true"/>
        </w:trPr>
        <w:tc>
          <w:tcPr>
            <w:tcW w:type="dxa" w:w="2835"/>
            <w:shd w:fill="1F4E79"/>
            <w:tcMar>
              <w:top w:w="100" w:type="dxa"/>
              <w:start w:w="120" w:type="dxa"/>
              <w:bottom w:w="100" w:type="dxa"/>
              <w:end w:w="120" w:type="dxa"/>
            </w:tcMar>
            <w:vAlign w:val="center"/>
          </w:tcPr>
          <w:p>
            <w:pPr>
              <w:widowControl/>
              <w:spacing w:after="0"/>
              <w:jc w:val="left"/>
            </w:pPr>
            <w:r>
              <w:rPr>
                <w:rFonts w:ascii="Aptos" w:hAnsi="Aptos"/>
                <w:b/>
                <w:color w:val="FFFFFF"/>
                <w:sz w:val="19"/>
              </w:rPr>
              <w:t>Ciljna skupina</w:t>
            </w:r>
          </w:p>
        </w:tc>
        <w:tc>
          <w:tcPr>
            <w:tcW w:type="dxa" w:w="1247"/>
            <w:shd w:fill="1F4E79"/>
            <w:tcMar>
              <w:top w:w="100" w:type="dxa"/>
              <w:start w:w="120" w:type="dxa"/>
              <w:bottom w:w="100" w:type="dxa"/>
              <w:end w:w="120" w:type="dxa"/>
            </w:tcMar>
            <w:vAlign w:val="center"/>
          </w:tcPr>
          <w:p>
            <w:pPr>
              <w:widowControl/>
              <w:spacing w:after="0"/>
              <w:jc w:val="left"/>
            </w:pPr>
            <w:r>
              <w:rPr>
                <w:rFonts w:ascii="Aptos" w:hAnsi="Aptos"/>
                <w:b/>
                <w:color w:val="FFFFFF"/>
                <w:sz w:val="19"/>
              </w:rPr>
              <w:t>Vloga</w:t>
            </w:r>
          </w:p>
        </w:tc>
        <w:tc>
          <w:tcPr>
            <w:tcW w:type="dxa" w:w="5443"/>
            <w:shd w:fill="1F4E79"/>
            <w:tcMar>
              <w:top w:w="100" w:type="dxa"/>
              <w:start w:w="120" w:type="dxa"/>
              <w:bottom w:w="100" w:type="dxa"/>
              <w:end w:w="120" w:type="dxa"/>
            </w:tcMar>
            <w:vAlign w:val="center"/>
          </w:tcPr>
          <w:p>
            <w:pPr>
              <w:widowControl/>
              <w:spacing w:after="0"/>
              <w:jc w:val="left"/>
            </w:pPr>
            <w:r>
              <w:rPr>
                <w:rFonts w:ascii="Aptos" w:hAnsi="Aptos"/>
                <w:b/>
                <w:color w:val="FFFFFF"/>
                <w:sz w:val="19"/>
              </w:rPr>
              <w:t>Namen komuniciranja</w:t>
            </w:r>
          </w:p>
        </w:tc>
      </w:tr>
      <w:tr>
        <w:trPr/>
        <w:tc>
          <w:tcPr>
            <w:tcW w:type="dxa" w:w="2835"/>
            <w:tcMar>
              <w:top w:w="100" w:type="dxa"/>
              <w:start w:w="120" w:type="dxa"/>
              <w:bottom w:w="100" w:type="dxa"/>
              <w:end w:w="120" w:type="dxa"/>
            </w:tcMar>
            <w:vAlign w:val="center"/>
          </w:tcPr>
          <w:p>
            <w:pPr>
              <w:widowControl/>
              <w:spacing w:after="0" w:line="252" w:lineRule="auto"/>
            </w:pPr>
            <w:r>
              <w:rPr>
                <w:rFonts w:ascii="Aptos" w:hAnsi="Aptos"/>
                <w:sz w:val="18"/>
              </w:rPr>
              <w:t>Prebivalci in lokalni deležniki na območju Pšate, Kamnika in Komende</w:t>
            </w:r>
          </w:p>
        </w:tc>
        <w:tc>
          <w:tcPr>
            <w:tcW w:type="dxa" w:w="1247"/>
            <w:tcMar>
              <w:top w:w="100" w:type="dxa"/>
              <w:start w:w="120" w:type="dxa"/>
              <w:bottom w:w="100" w:type="dxa"/>
              <w:end w:w="120" w:type="dxa"/>
            </w:tcMar>
            <w:vAlign w:val="center"/>
          </w:tcPr>
          <w:p>
            <w:pPr>
              <w:widowControl/>
              <w:spacing w:after="0" w:line="252" w:lineRule="auto"/>
            </w:pPr>
            <w:r>
              <w:rPr>
                <w:rFonts w:ascii="Aptos" w:hAnsi="Aptos"/>
                <w:sz w:val="18"/>
              </w:rPr>
              <w:t>Primarna</w:t>
            </w:r>
          </w:p>
        </w:tc>
        <w:tc>
          <w:tcPr>
            <w:tcW w:type="dxa" w:w="5443"/>
            <w:tcMar>
              <w:top w:w="100" w:type="dxa"/>
              <w:start w:w="120" w:type="dxa"/>
              <w:bottom w:w="100" w:type="dxa"/>
              <w:end w:w="120" w:type="dxa"/>
            </w:tcMar>
            <w:vAlign w:val="center"/>
          </w:tcPr>
          <w:p>
            <w:pPr>
              <w:widowControl/>
              <w:spacing w:after="0" w:line="252" w:lineRule="auto"/>
            </w:pPr>
            <w:r>
              <w:rPr>
                <w:rFonts w:ascii="Aptos" w:hAnsi="Aptos"/>
                <w:sz w:val="18"/>
              </w:rPr>
              <w:t>Vabilo k sodelovanju; zbiranje izkušenj in opažanj; soustvarjanje vedenj, scenarijev in ukrepov; povratne informacije in validacija modela.</w:t>
            </w:r>
          </w:p>
        </w:tc>
      </w:tr>
      <w:tr>
        <w:trPr/>
        <w:tc>
          <w:tcPr>
            <w:tcW w:type="dxa" w:w="2835"/>
            <w:tcMar>
              <w:top w:w="100" w:type="dxa"/>
              <w:start w:w="120" w:type="dxa"/>
              <w:bottom w:w="100" w:type="dxa"/>
              <w:end w:w="120" w:type="dxa"/>
            </w:tcMar>
            <w:vAlign w:val="center"/>
            <w:shd w:fill="F5F7FA"/>
          </w:tcPr>
          <w:p>
            <w:pPr>
              <w:widowControl/>
              <w:spacing w:after="0" w:line="252" w:lineRule="auto"/>
            </w:pPr>
            <w:r>
              <w:rPr>
                <w:rFonts w:ascii="Aptos" w:hAnsi="Aptos"/>
                <w:sz w:val="18"/>
              </w:rPr>
              <w:t>Občine, civilna zaščita, gasilci, policija, komunalne in druge javne službe</w:t>
            </w:r>
          </w:p>
        </w:tc>
        <w:tc>
          <w:tcPr>
            <w:tcW w:type="dxa" w:w="1247"/>
            <w:tcMar>
              <w:top w:w="100" w:type="dxa"/>
              <w:start w:w="120" w:type="dxa"/>
              <w:bottom w:w="100" w:type="dxa"/>
              <w:end w:w="120" w:type="dxa"/>
            </w:tcMar>
            <w:vAlign w:val="center"/>
            <w:shd w:fill="F5F7FA"/>
          </w:tcPr>
          <w:p>
            <w:pPr>
              <w:widowControl/>
              <w:spacing w:after="0" w:line="252" w:lineRule="auto"/>
            </w:pPr>
            <w:r>
              <w:rPr>
                <w:rFonts w:ascii="Aptos" w:hAnsi="Aptos"/>
                <w:sz w:val="18"/>
              </w:rPr>
              <w:t>Primarna</w:t>
            </w:r>
          </w:p>
        </w:tc>
        <w:tc>
          <w:tcPr>
            <w:tcW w:type="dxa" w:w="5443"/>
            <w:tcMar>
              <w:top w:w="100" w:type="dxa"/>
              <w:start w:w="120" w:type="dxa"/>
              <w:bottom w:w="100" w:type="dxa"/>
              <w:end w:w="120" w:type="dxa"/>
            </w:tcMar>
            <w:vAlign w:val="center"/>
            <w:shd w:fill="F5F7FA"/>
          </w:tcPr>
          <w:p>
            <w:pPr>
              <w:widowControl/>
              <w:spacing w:after="0" w:line="252" w:lineRule="auto"/>
            </w:pPr>
            <w:r>
              <w:rPr>
                <w:rFonts w:ascii="Aptos" w:hAnsi="Aptos"/>
                <w:sz w:val="18"/>
              </w:rPr>
              <w:t>Pridobivanje strokovnega in operativnega znanja; preverjanje realističnosti modela; predstavitev scenarijev in podpore odločanju.</w:t>
            </w:r>
          </w:p>
        </w:tc>
      </w:tr>
      <w:tr>
        <w:trPr/>
        <w:tc>
          <w:tcPr>
            <w:tcW w:type="dxa" w:w="2835"/>
            <w:tcMar>
              <w:top w:w="100" w:type="dxa"/>
              <w:start w:w="120" w:type="dxa"/>
              <w:bottom w:w="100" w:type="dxa"/>
              <w:end w:w="120" w:type="dxa"/>
            </w:tcMar>
            <w:vAlign w:val="center"/>
          </w:tcPr>
          <w:p>
            <w:pPr>
              <w:widowControl/>
              <w:spacing w:after="0" w:line="252" w:lineRule="auto"/>
            </w:pPr>
            <w:r>
              <w:rPr>
                <w:rFonts w:ascii="Aptos" w:hAnsi="Aptos"/>
                <w:sz w:val="18"/>
              </w:rPr>
              <w:t>Upravljavci voda, okoljske institucije, prostorski načrtovalci in nosilci politik</w:t>
            </w:r>
          </w:p>
        </w:tc>
        <w:tc>
          <w:tcPr>
            <w:tcW w:type="dxa" w:w="1247"/>
            <w:tcMar>
              <w:top w:w="100" w:type="dxa"/>
              <w:start w:w="120" w:type="dxa"/>
              <w:bottom w:w="100" w:type="dxa"/>
              <w:end w:w="120" w:type="dxa"/>
            </w:tcMar>
            <w:vAlign w:val="center"/>
          </w:tcPr>
          <w:p>
            <w:pPr>
              <w:widowControl/>
              <w:spacing w:after="0" w:line="252" w:lineRule="auto"/>
            </w:pPr>
            <w:r>
              <w:rPr>
                <w:rFonts w:ascii="Aptos" w:hAnsi="Aptos"/>
                <w:sz w:val="18"/>
              </w:rPr>
              <w:t>Primarna</w:t>
            </w:r>
          </w:p>
        </w:tc>
        <w:tc>
          <w:tcPr>
            <w:tcW w:type="dxa" w:w="5443"/>
            <w:tcMar>
              <w:top w:w="100" w:type="dxa"/>
              <w:start w:w="120" w:type="dxa"/>
              <w:bottom w:w="100" w:type="dxa"/>
              <w:end w:w="120" w:type="dxa"/>
            </w:tcMar>
            <w:vAlign w:val="center"/>
          </w:tcPr>
          <w:p>
            <w:pPr>
              <w:widowControl/>
              <w:spacing w:after="0" w:line="252" w:lineRule="auto"/>
            </w:pPr>
            <w:r>
              <w:rPr>
                <w:rFonts w:ascii="Aptos" w:hAnsi="Aptos"/>
                <w:sz w:val="18"/>
              </w:rPr>
              <w:t>Prenos ugotovitev v razprave o obvladovanju poplavne ogroženosti, prostorskem načrtovanju in na naravi temelječih rešitvah.</w:t>
            </w:r>
          </w:p>
        </w:tc>
      </w:tr>
      <w:tr>
        <w:trPr/>
        <w:tc>
          <w:tcPr>
            <w:tcW w:type="dxa" w:w="2835"/>
            <w:tcMar>
              <w:top w:w="100" w:type="dxa"/>
              <w:start w:w="120" w:type="dxa"/>
              <w:bottom w:w="100" w:type="dxa"/>
              <w:end w:w="120" w:type="dxa"/>
            </w:tcMar>
            <w:vAlign w:val="center"/>
            <w:shd w:fill="F5F7FA"/>
          </w:tcPr>
          <w:p>
            <w:pPr>
              <w:widowControl/>
              <w:spacing w:after="0" w:line="252" w:lineRule="auto"/>
            </w:pPr>
            <w:r>
              <w:rPr>
                <w:rFonts w:ascii="Aptos" w:hAnsi="Aptos"/>
                <w:sz w:val="18"/>
              </w:rPr>
              <w:t>Nevladne organizacije, lokalne pobude ter sorodni projekti, zlasti LIFE2Rivers</w:t>
            </w:r>
          </w:p>
        </w:tc>
        <w:tc>
          <w:tcPr>
            <w:tcW w:type="dxa" w:w="1247"/>
            <w:tcMar>
              <w:top w:w="100" w:type="dxa"/>
              <w:start w:w="120" w:type="dxa"/>
              <w:bottom w:w="100" w:type="dxa"/>
              <w:end w:w="120" w:type="dxa"/>
            </w:tcMar>
            <w:vAlign w:val="center"/>
            <w:shd w:fill="F5F7FA"/>
          </w:tcPr>
          <w:p>
            <w:pPr>
              <w:widowControl/>
              <w:spacing w:after="0" w:line="252" w:lineRule="auto"/>
            </w:pPr>
            <w:r>
              <w:rPr>
                <w:rFonts w:ascii="Aptos" w:hAnsi="Aptos"/>
                <w:sz w:val="18"/>
              </w:rPr>
              <w:t>Primarna/sekundarna</w:t>
            </w:r>
          </w:p>
        </w:tc>
        <w:tc>
          <w:tcPr>
            <w:tcW w:type="dxa" w:w="5443"/>
            <w:tcMar>
              <w:top w:w="100" w:type="dxa"/>
              <w:start w:w="120" w:type="dxa"/>
              <w:bottom w:w="100" w:type="dxa"/>
              <w:end w:w="120" w:type="dxa"/>
            </w:tcMar>
            <w:vAlign w:val="center"/>
            <w:shd w:fill="F5F7FA"/>
          </w:tcPr>
          <w:p>
            <w:pPr>
              <w:widowControl/>
              <w:spacing w:after="0" w:line="252" w:lineRule="auto"/>
            </w:pPr>
            <w:r>
              <w:rPr>
                <w:rFonts w:ascii="Aptos" w:hAnsi="Aptos"/>
                <w:sz w:val="18"/>
              </w:rPr>
              <w:t>Izmenjava znanja, usklajevanje sorodnih aktivnosti, vključevanje lokalnih mrež ter širjenje rezultatov.</w:t>
            </w:r>
          </w:p>
        </w:tc>
      </w:tr>
      <w:tr>
        <w:trPr/>
        <w:tc>
          <w:tcPr>
            <w:tcW w:type="dxa" w:w="2835"/>
            <w:tcMar>
              <w:top w:w="100" w:type="dxa"/>
              <w:start w:w="120" w:type="dxa"/>
              <w:bottom w:w="100" w:type="dxa"/>
              <w:end w:w="120" w:type="dxa"/>
            </w:tcMar>
            <w:vAlign w:val="center"/>
          </w:tcPr>
          <w:p>
            <w:pPr>
              <w:widowControl/>
              <w:spacing w:after="0" w:line="252" w:lineRule="auto"/>
            </w:pPr>
            <w:r>
              <w:rPr>
                <w:rFonts w:ascii="Aptos" w:hAnsi="Aptos"/>
                <w:sz w:val="18"/>
              </w:rPr>
              <w:t>Raziskovalci s področij agentnega modeliranja, participativnih metod, upravljanja tveganj, hidrologije in občanske znanosti</w:t>
            </w:r>
          </w:p>
        </w:tc>
        <w:tc>
          <w:tcPr>
            <w:tcW w:type="dxa" w:w="1247"/>
            <w:tcMar>
              <w:top w:w="100" w:type="dxa"/>
              <w:start w:w="120" w:type="dxa"/>
              <w:bottom w:w="100" w:type="dxa"/>
              <w:end w:w="120" w:type="dxa"/>
            </w:tcMar>
            <w:vAlign w:val="center"/>
          </w:tcPr>
          <w:p>
            <w:pPr>
              <w:widowControl/>
              <w:spacing w:after="0" w:line="252" w:lineRule="auto"/>
            </w:pPr>
            <w:r>
              <w:rPr>
                <w:rFonts w:ascii="Aptos" w:hAnsi="Aptos"/>
                <w:sz w:val="18"/>
              </w:rPr>
              <w:t>Primarna</w:t>
            </w:r>
          </w:p>
        </w:tc>
        <w:tc>
          <w:tcPr>
            <w:tcW w:type="dxa" w:w="5443"/>
            <w:tcMar>
              <w:top w:w="100" w:type="dxa"/>
              <w:start w:w="120" w:type="dxa"/>
              <w:bottom w:w="100" w:type="dxa"/>
              <w:end w:w="120" w:type="dxa"/>
            </w:tcMar>
            <w:vAlign w:val="center"/>
          </w:tcPr>
          <w:p>
            <w:pPr>
              <w:widowControl/>
              <w:spacing w:after="0" w:line="252" w:lineRule="auto"/>
            </w:pPr>
            <w:r>
              <w:rPr>
                <w:rFonts w:ascii="Aptos" w:hAnsi="Aptos"/>
                <w:sz w:val="18"/>
              </w:rPr>
              <w:t>Znanstvena izmenjava, objave, konference, ponovna uporaba metod in kode ter nova sodelovanja.</w:t>
            </w:r>
          </w:p>
        </w:tc>
      </w:tr>
      <w:tr>
        <w:trPr/>
        <w:tc>
          <w:tcPr>
            <w:tcW w:type="dxa" w:w="2835"/>
            <w:tcMar>
              <w:top w:w="100" w:type="dxa"/>
              <w:start w:w="120" w:type="dxa"/>
              <w:bottom w:w="100" w:type="dxa"/>
              <w:end w:w="120" w:type="dxa"/>
            </w:tcMar>
            <w:vAlign w:val="center"/>
            <w:shd w:fill="F5F7FA"/>
          </w:tcPr>
          <w:p>
            <w:pPr>
              <w:widowControl/>
              <w:spacing w:after="0" w:line="252" w:lineRule="auto"/>
            </w:pPr>
            <w:r>
              <w:rPr>
                <w:rFonts w:ascii="Aptos" w:hAnsi="Aptos"/>
                <w:sz w:val="18"/>
              </w:rPr>
              <w:t>Študenti in mladi raziskovalci sorodnih področij</w:t>
            </w:r>
          </w:p>
        </w:tc>
        <w:tc>
          <w:tcPr>
            <w:tcW w:type="dxa" w:w="1247"/>
            <w:tcMar>
              <w:top w:w="100" w:type="dxa"/>
              <w:start w:w="120" w:type="dxa"/>
              <w:bottom w:w="100" w:type="dxa"/>
              <w:end w:w="120" w:type="dxa"/>
            </w:tcMar>
            <w:vAlign w:val="center"/>
            <w:shd w:fill="F5F7FA"/>
          </w:tcPr>
          <w:p>
            <w:pPr>
              <w:widowControl/>
              <w:spacing w:after="0" w:line="252" w:lineRule="auto"/>
            </w:pPr>
            <w:r>
              <w:rPr>
                <w:rFonts w:ascii="Aptos" w:hAnsi="Aptos"/>
                <w:sz w:val="18"/>
              </w:rPr>
              <w:t>Sekundarna</w:t>
            </w:r>
          </w:p>
        </w:tc>
        <w:tc>
          <w:tcPr>
            <w:tcW w:type="dxa" w:w="5443"/>
            <w:tcMar>
              <w:top w:w="100" w:type="dxa"/>
              <w:start w:w="120" w:type="dxa"/>
              <w:bottom w:w="100" w:type="dxa"/>
              <w:end w:w="120" w:type="dxa"/>
            </w:tcMar>
            <w:vAlign w:val="center"/>
            <w:shd w:fill="F5F7FA"/>
          </w:tcPr>
          <w:p>
            <w:pPr>
              <w:widowControl/>
              <w:spacing w:after="0" w:line="252" w:lineRule="auto"/>
            </w:pPr>
            <w:r>
              <w:rPr>
                <w:rFonts w:ascii="Aptos" w:hAnsi="Aptos"/>
                <w:sz w:val="18"/>
              </w:rPr>
              <w:t>Izobraževanje o interdisciplinarnem in participativnem modeliranju ter vključevanje v strokovne dogodke.</w:t>
            </w:r>
          </w:p>
        </w:tc>
      </w:tr>
      <w:tr>
        <w:trPr/>
        <w:tc>
          <w:tcPr>
            <w:tcW w:type="dxa" w:w="2835"/>
            <w:tcMar>
              <w:top w:w="100" w:type="dxa"/>
              <w:start w:w="120" w:type="dxa"/>
              <w:bottom w:w="100" w:type="dxa"/>
              <w:end w:w="120" w:type="dxa"/>
            </w:tcMar>
            <w:vAlign w:val="center"/>
          </w:tcPr>
          <w:p>
            <w:pPr>
              <w:widowControl/>
              <w:spacing w:after="0" w:line="252" w:lineRule="auto"/>
            </w:pPr>
            <w:r>
              <w:rPr>
                <w:rFonts w:ascii="Aptos" w:hAnsi="Aptos"/>
                <w:sz w:val="18"/>
              </w:rPr>
              <w:t>Splošna javnost in mediji</w:t>
            </w:r>
          </w:p>
        </w:tc>
        <w:tc>
          <w:tcPr>
            <w:tcW w:type="dxa" w:w="1247"/>
            <w:tcMar>
              <w:top w:w="100" w:type="dxa"/>
              <w:start w:w="120" w:type="dxa"/>
              <w:bottom w:w="100" w:type="dxa"/>
              <w:end w:w="120" w:type="dxa"/>
            </w:tcMar>
            <w:vAlign w:val="center"/>
          </w:tcPr>
          <w:p>
            <w:pPr>
              <w:widowControl/>
              <w:spacing w:after="0" w:line="252" w:lineRule="auto"/>
            </w:pPr>
            <w:r>
              <w:rPr>
                <w:rFonts w:ascii="Aptos" w:hAnsi="Aptos"/>
                <w:sz w:val="18"/>
              </w:rPr>
              <w:t>Sekundarna</w:t>
            </w:r>
          </w:p>
        </w:tc>
        <w:tc>
          <w:tcPr>
            <w:tcW w:type="dxa" w:w="5443"/>
            <w:tcMar>
              <w:top w:w="100" w:type="dxa"/>
              <w:start w:w="120" w:type="dxa"/>
              <w:bottom w:w="100" w:type="dxa"/>
              <w:end w:w="120" w:type="dxa"/>
            </w:tcMar>
            <w:vAlign w:val="center"/>
          </w:tcPr>
          <w:p>
            <w:pPr>
              <w:widowControl/>
              <w:spacing w:after="0" w:line="252" w:lineRule="auto"/>
            </w:pPr>
            <w:r>
              <w:rPr>
                <w:rFonts w:ascii="Aptos" w:hAnsi="Aptos"/>
                <w:sz w:val="18"/>
              </w:rPr>
              <w:t>Razumljivo predstavljanje družbenega pomena raziskave, glavnih rezultatov in možnosti uporabe.</w:t>
            </w:r>
          </w:p>
        </w:tc>
      </w:tr>
      <w:tr>
        <w:trPr/>
        <w:tc>
          <w:tcPr>
            <w:tcW w:type="dxa" w:w="2835"/>
            <w:tcMar>
              <w:top w:w="100" w:type="dxa"/>
              <w:start w:w="120" w:type="dxa"/>
              <w:bottom w:w="100" w:type="dxa"/>
              <w:end w:w="120" w:type="dxa"/>
            </w:tcMar>
            <w:vAlign w:val="center"/>
            <w:shd w:fill="F5F7FA"/>
          </w:tcPr>
          <w:p>
            <w:pPr>
              <w:widowControl/>
              <w:spacing w:after="0" w:line="252" w:lineRule="auto"/>
            </w:pPr>
            <w:r>
              <w:rPr>
                <w:rFonts w:ascii="Aptos" w:hAnsi="Aptos"/>
                <w:sz w:val="18"/>
              </w:rPr>
              <w:t>ARIS in IJS</w:t>
            </w:r>
          </w:p>
        </w:tc>
        <w:tc>
          <w:tcPr>
            <w:tcW w:type="dxa" w:w="1247"/>
            <w:tcMar>
              <w:top w:w="100" w:type="dxa"/>
              <w:start w:w="120" w:type="dxa"/>
              <w:bottom w:w="100" w:type="dxa"/>
              <w:end w:w="120" w:type="dxa"/>
            </w:tcMar>
            <w:vAlign w:val="center"/>
            <w:shd w:fill="F5F7FA"/>
          </w:tcPr>
          <w:p>
            <w:pPr>
              <w:widowControl/>
              <w:spacing w:after="0" w:line="252" w:lineRule="auto"/>
            </w:pPr>
            <w:r>
              <w:rPr>
                <w:rFonts w:ascii="Aptos" w:hAnsi="Aptos"/>
                <w:sz w:val="18"/>
              </w:rPr>
              <w:t>Institucionalna</w:t>
            </w:r>
          </w:p>
        </w:tc>
        <w:tc>
          <w:tcPr>
            <w:tcW w:type="dxa" w:w="5443"/>
            <w:tcMar>
              <w:top w:w="100" w:type="dxa"/>
              <w:start w:w="120" w:type="dxa"/>
              <w:bottom w:w="100" w:type="dxa"/>
              <w:end w:w="120" w:type="dxa"/>
            </w:tcMar>
            <w:vAlign w:val="center"/>
            <w:shd w:fill="F5F7FA"/>
          </w:tcPr>
          <w:p>
            <w:pPr>
              <w:widowControl/>
              <w:spacing w:after="0" w:line="252" w:lineRule="auto"/>
            </w:pPr>
            <w:r>
              <w:rPr>
                <w:rFonts w:ascii="Aptos" w:hAnsi="Aptos"/>
                <w:sz w:val="18"/>
              </w:rPr>
              <w:t>Pregledno poročanje o napredku, rezultatih, odprtem dostopu in družbenem učinku raziskave.</w:t>
            </w:r>
          </w:p>
        </w:tc>
      </w:tr>
    </w:tbl>
    <w:p>
      <w:pPr>
        <w:spacing w:after="0"/>
      </w:pPr>
    </w:p>
    <w:p>
      <w:pPr>
        <w:pStyle w:val="Heading1"/>
        <w:keepNext/>
      </w:pPr>
      <w:r>
        <w:t>3. Ključna sporočila</w:t>
      </w:r>
    </w:p>
    <w:tbl>
      <w:tblPr>
        <w:tblStyle w:val="TableGrid"/>
        <w:tblW w:type="auto" w:w="0"/>
        <w:jc w:val="center"/>
        <w:tblLayout w:type="fixed"/>
        <w:tblLook w:firstColumn="1" w:firstRow="1" w:lastColumn="0" w:lastRow="0" w:noHBand="0" w:noVBand="1" w:val="04A0"/>
      </w:tblPr>
      <w:tblGrid>
        <w:gridCol w:w="4762"/>
        <w:gridCol w:w="4762"/>
      </w:tblGrid>
      <w:tr>
        <w:trPr>
          <w:tblHeader w:val="true"/>
        </w:trPr>
        <w:tc>
          <w:tcPr>
            <w:tcW w:type="dxa" w:w="2438"/>
            <w:shd w:fill="1F4E79"/>
            <w:tcMar>
              <w:top w:w="100" w:type="dxa"/>
              <w:start w:w="120" w:type="dxa"/>
              <w:bottom w:w="100" w:type="dxa"/>
              <w:end w:w="120" w:type="dxa"/>
            </w:tcMar>
            <w:vAlign w:val="center"/>
          </w:tcPr>
          <w:p>
            <w:pPr>
              <w:widowControl/>
              <w:spacing w:after="0"/>
              <w:jc w:val="left"/>
            </w:pPr>
            <w:r>
              <w:rPr>
                <w:rFonts w:ascii="Aptos" w:hAnsi="Aptos"/>
                <w:b/>
                <w:color w:val="FFFFFF"/>
                <w:sz w:val="19"/>
              </w:rPr>
              <w:t>Naslovniki</w:t>
            </w:r>
          </w:p>
        </w:tc>
        <w:tc>
          <w:tcPr>
            <w:tcW w:type="dxa" w:w="7087"/>
            <w:shd w:fill="1F4E79"/>
            <w:tcMar>
              <w:top w:w="100" w:type="dxa"/>
              <w:start w:w="120" w:type="dxa"/>
              <w:bottom w:w="100" w:type="dxa"/>
              <w:end w:w="120" w:type="dxa"/>
            </w:tcMar>
            <w:vAlign w:val="center"/>
          </w:tcPr>
          <w:p>
            <w:pPr>
              <w:widowControl/>
              <w:spacing w:after="0"/>
              <w:jc w:val="left"/>
            </w:pPr>
            <w:r>
              <w:rPr>
                <w:rFonts w:ascii="Aptos" w:hAnsi="Aptos"/>
                <w:b/>
                <w:color w:val="FFFFFF"/>
                <w:sz w:val="19"/>
              </w:rPr>
              <w:t>Ključno sporočilo</w:t>
            </w:r>
          </w:p>
        </w:tc>
      </w:tr>
      <w:tr>
        <w:trPr/>
        <w:tc>
          <w:tcPr>
            <w:tcW w:type="dxa" w:w="2438"/>
            <w:tcMar>
              <w:top w:w="100" w:type="dxa"/>
              <w:start w:w="120" w:type="dxa"/>
              <w:bottom w:w="100" w:type="dxa"/>
              <w:end w:w="120" w:type="dxa"/>
            </w:tcMar>
            <w:vAlign w:val="center"/>
          </w:tcPr>
          <w:p>
            <w:pPr>
              <w:widowControl/>
              <w:spacing w:after="0" w:line="252" w:lineRule="auto"/>
            </w:pPr>
            <w:r>
              <w:rPr>
                <w:rFonts w:ascii="Aptos" w:hAnsi="Aptos"/>
                <w:sz w:val="18"/>
              </w:rPr>
              <w:t>Vsem javnostim</w:t>
            </w:r>
          </w:p>
        </w:tc>
        <w:tc>
          <w:tcPr>
            <w:tcW w:type="dxa" w:w="7087"/>
            <w:tcMar>
              <w:top w:w="100" w:type="dxa"/>
              <w:start w:w="120" w:type="dxa"/>
              <w:bottom w:w="100" w:type="dxa"/>
              <w:end w:w="120" w:type="dxa"/>
            </w:tcMar>
            <w:vAlign w:val="center"/>
          </w:tcPr>
          <w:p>
            <w:pPr>
              <w:widowControl/>
              <w:spacing w:after="0" w:line="252" w:lineRule="auto"/>
            </w:pPr>
            <w:r>
              <w:rPr>
                <w:rFonts w:ascii="Aptos" w:hAnsi="Aptos"/>
                <w:sz w:val="18"/>
              </w:rPr>
              <w:t>Poplavna ogroženost ni odvisna le od vode in prostora, temveč tudi od odločitev, odzivov in sodelovanja ljudi ter institucij pred poplavo, med njo in po njej.</w:t>
            </w:r>
          </w:p>
        </w:tc>
      </w:tr>
      <w:tr>
        <w:trPr/>
        <w:tc>
          <w:tcPr>
            <w:tcW w:type="dxa" w:w="2438"/>
            <w:tcMar>
              <w:top w:w="100" w:type="dxa"/>
              <w:start w:w="120" w:type="dxa"/>
              <w:bottom w:w="100" w:type="dxa"/>
              <w:end w:w="120" w:type="dxa"/>
            </w:tcMar>
            <w:vAlign w:val="center"/>
            <w:shd w:fill="F5F7FA"/>
          </w:tcPr>
          <w:p>
            <w:pPr>
              <w:widowControl/>
              <w:spacing w:after="0" w:line="252" w:lineRule="auto"/>
            </w:pPr>
            <w:r>
              <w:rPr>
                <w:rFonts w:ascii="Aptos" w:hAnsi="Aptos"/>
                <w:sz w:val="18"/>
              </w:rPr>
              <w:t>Lokalnim prebivalcem in deležnikom</w:t>
            </w:r>
          </w:p>
        </w:tc>
        <w:tc>
          <w:tcPr>
            <w:tcW w:type="dxa" w:w="7087"/>
            <w:tcMar>
              <w:top w:w="100" w:type="dxa"/>
              <w:start w:w="120" w:type="dxa"/>
              <w:bottom w:w="100" w:type="dxa"/>
              <w:end w:w="120" w:type="dxa"/>
            </w:tcMar>
            <w:vAlign w:val="center"/>
            <w:shd w:fill="F5F7FA"/>
          </w:tcPr>
          <w:p>
            <w:pPr>
              <w:widowControl/>
              <w:spacing w:after="0" w:line="252" w:lineRule="auto"/>
            </w:pPr>
            <w:r>
              <w:rPr>
                <w:rFonts w:ascii="Aptos" w:hAnsi="Aptos"/>
                <w:sz w:val="18"/>
              </w:rPr>
              <w:t>Lokalne izkušnje niso zgolj dopolnilo podatkom, ampak pomemben del zasnove, preverjanja in razlage modela. Sodelujoči bodo vključeni v opredelitev vedenj, scenarijev, ukrepov in validacijo rezultatov.</w:t>
            </w:r>
          </w:p>
        </w:tc>
      </w:tr>
      <w:tr>
        <w:trPr/>
        <w:tc>
          <w:tcPr>
            <w:tcW w:type="dxa" w:w="2438"/>
            <w:tcMar>
              <w:top w:w="100" w:type="dxa"/>
              <w:start w:w="120" w:type="dxa"/>
              <w:bottom w:w="100" w:type="dxa"/>
              <w:end w:w="120" w:type="dxa"/>
            </w:tcMar>
            <w:vAlign w:val="center"/>
          </w:tcPr>
          <w:p>
            <w:pPr>
              <w:widowControl/>
              <w:spacing w:after="0" w:line="252" w:lineRule="auto"/>
            </w:pPr>
            <w:r>
              <w:rPr>
                <w:rFonts w:ascii="Aptos" w:hAnsi="Aptos"/>
                <w:sz w:val="18"/>
              </w:rPr>
              <w:t>Strokovnim službam in odločevalcem</w:t>
            </w:r>
          </w:p>
        </w:tc>
        <w:tc>
          <w:tcPr>
            <w:tcW w:type="dxa" w:w="7087"/>
            <w:tcMar>
              <w:top w:w="100" w:type="dxa"/>
              <w:start w:w="120" w:type="dxa"/>
              <w:bottom w:w="100" w:type="dxa"/>
              <w:end w:w="120" w:type="dxa"/>
            </w:tcMar>
            <w:vAlign w:val="center"/>
          </w:tcPr>
          <w:p>
            <w:pPr>
              <w:widowControl/>
              <w:spacing w:after="0" w:line="252" w:lineRule="auto"/>
            </w:pPr>
            <w:r>
              <w:rPr>
                <w:rFonts w:ascii="Aptos" w:hAnsi="Aptos"/>
                <w:sz w:val="18"/>
              </w:rPr>
              <w:t>Model bo omogočil varno preizkušanje različnih odzivov, koordinacije in ukrepov, vključno z na naravi temelječimi rešitvami. Ne bo nadomestil strokovne presoje, temveč bo služil kot orodje za strukturirano primerjavo scenarijev in podporo razpravi.</w:t>
            </w:r>
          </w:p>
        </w:tc>
      </w:tr>
      <w:tr>
        <w:trPr/>
        <w:tc>
          <w:tcPr>
            <w:tcW w:type="dxa" w:w="2438"/>
            <w:tcMar>
              <w:top w:w="100" w:type="dxa"/>
              <w:start w:w="120" w:type="dxa"/>
              <w:bottom w:w="100" w:type="dxa"/>
              <w:end w:w="120" w:type="dxa"/>
            </w:tcMar>
            <w:vAlign w:val="center"/>
            <w:shd w:fill="F5F7FA"/>
          </w:tcPr>
          <w:p>
            <w:pPr>
              <w:widowControl/>
              <w:spacing w:after="0" w:line="252" w:lineRule="auto"/>
            </w:pPr>
            <w:r>
              <w:rPr>
                <w:rFonts w:ascii="Aptos" w:hAnsi="Aptos"/>
                <w:sz w:val="18"/>
              </w:rPr>
              <w:t>Znanstveni skupnosti</w:t>
            </w:r>
          </w:p>
        </w:tc>
        <w:tc>
          <w:tcPr>
            <w:tcW w:type="dxa" w:w="7087"/>
            <w:tcMar>
              <w:top w:w="100" w:type="dxa"/>
              <w:start w:w="120" w:type="dxa"/>
              <w:bottom w:w="100" w:type="dxa"/>
              <w:end w:w="120" w:type="dxa"/>
            </w:tcMar>
            <w:vAlign w:val="center"/>
            <w:shd w:fill="F5F7FA"/>
          </w:tcPr>
          <w:p>
            <w:pPr>
              <w:widowControl/>
              <w:spacing w:after="0" w:line="252" w:lineRule="auto"/>
            </w:pPr>
            <w:r>
              <w:rPr>
                <w:rFonts w:ascii="Aptos" w:hAnsi="Aptos"/>
                <w:sz w:val="18"/>
              </w:rPr>
              <w:t>Projekt razvija in preizkuša pristop, ki povezuje participativno pridobljeno vedenjsko znanje, agentno modeliranje, umetno inteligenco ter hidrološke, meteorološke in geoprostorske podatke.</w:t>
            </w:r>
          </w:p>
        </w:tc>
      </w:tr>
      <w:tr>
        <w:trPr/>
        <w:tc>
          <w:tcPr>
            <w:tcW w:type="dxa" w:w="2438"/>
            <w:tcMar>
              <w:top w:w="100" w:type="dxa"/>
              <w:start w:w="120" w:type="dxa"/>
              <w:bottom w:w="100" w:type="dxa"/>
              <w:end w:w="120" w:type="dxa"/>
            </w:tcMar>
            <w:vAlign w:val="center"/>
          </w:tcPr>
          <w:p>
            <w:pPr>
              <w:widowControl/>
              <w:spacing w:after="0" w:line="252" w:lineRule="auto"/>
            </w:pPr>
            <w:r>
              <w:rPr>
                <w:rFonts w:ascii="Aptos" w:hAnsi="Aptos"/>
                <w:sz w:val="18"/>
              </w:rPr>
              <w:t>Splošni javnosti in medijem</w:t>
            </w:r>
          </w:p>
        </w:tc>
        <w:tc>
          <w:tcPr>
            <w:tcW w:type="dxa" w:w="7087"/>
            <w:tcMar>
              <w:top w:w="100" w:type="dxa"/>
              <w:start w:w="120" w:type="dxa"/>
              <w:bottom w:w="100" w:type="dxa"/>
              <w:end w:w="120" w:type="dxa"/>
            </w:tcMar>
            <w:vAlign w:val="center"/>
          </w:tcPr>
          <w:p>
            <w:pPr>
              <w:widowControl/>
              <w:spacing w:after="0" w:line="252" w:lineRule="auto"/>
            </w:pPr>
            <w:r>
              <w:rPr>
                <w:rFonts w:ascii="Aptos" w:hAnsi="Aptos"/>
                <w:sz w:val="18"/>
              </w:rPr>
              <w:t>Cilj projekta je izboljšati razumevanje tega, kako lahko skupnosti in institucije skupaj zmanjšujejo posledice poplav, ne pa napovedati ene same 'pravilne' odločitve.</w:t>
            </w:r>
          </w:p>
        </w:tc>
      </w:tr>
      <w:tr>
        <w:trPr/>
        <w:tc>
          <w:tcPr>
            <w:tcW w:type="dxa" w:w="2438"/>
            <w:tcMar>
              <w:top w:w="100" w:type="dxa"/>
              <w:start w:w="120" w:type="dxa"/>
              <w:bottom w:w="100" w:type="dxa"/>
              <w:end w:w="120" w:type="dxa"/>
            </w:tcMar>
            <w:vAlign w:val="center"/>
            <w:shd w:fill="F5F7FA"/>
          </w:tcPr>
          <w:p>
            <w:pPr>
              <w:widowControl/>
              <w:spacing w:after="0" w:line="252" w:lineRule="auto"/>
            </w:pPr>
            <w:r>
              <w:rPr>
                <w:rFonts w:ascii="Aptos" w:hAnsi="Aptos"/>
                <w:sz w:val="18"/>
              </w:rPr>
              <w:t>O odprtosti rezultatov</w:t>
            </w:r>
          </w:p>
        </w:tc>
        <w:tc>
          <w:tcPr>
            <w:tcW w:type="dxa" w:w="7087"/>
            <w:tcMar>
              <w:top w:w="100" w:type="dxa"/>
              <w:start w:w="120" w:type="dxa"/>
              <w:bottom w:w="100" w:type="dxa"/>
              <w:end w:w="120" w:type="dxa"/>
            </w:tcMar>
            <w:vAlign w:val="center"/>
            <w:shd w:fill="F5F7FA"/>
          </w:tcPr>
          <w:p>
            <w:pPr>
              <w:widowControl/>
              <w:spacing w:after="0" w:line="252" w:lineRule="auto"/>
            </w:pPr>
            <w:r>
              <w:rPr>
                <w:rFonts w:ascii="Aptos" w:hAnsi="Aptos"/>
                <w:sz w:val="18"/>
              </w:rPr>
              <w:t>Anonimizirani oziroma agregirani podatki, dokumentacija, ustrezne različice modela in raziskovalni rezultati bodo objavljeni odprto, kadar bo to etično, pravno in tehnično mogoče.</w:t>
            </w:r>
          </w:p>
        </w:tc>
      </w:tr>
    </w:tbl>
    <w:p>
      <w:pPr>
        <w:spacing w:after="0"/>
      </w:pPr>
    </w:p>
    <w:p>
      <w:pPr>
        <w:pStyle w:val="Heading1"/>
        <w:keepNext/>
      </w:pPr>
      <w:r>
        <w:t>4. Komunikacijski kanali in orodja</w:t>
      </w:r>
    </w:p>
    <w:tbl>
      <w:tblPr>
        <w:tblStyle w:val="TableGrid"/>
        <w:tblW w:type="auto" w:w="0"/>
        <w:jc w:val="center"/>
        <w:tblLayout w:type="fixed"/>
        <w:tblLook w:firstColumn="1" w:firstRow="1" w:lastColumn="0" w:lastRow="0" w:noHBand="0" w:noVBand="1" w:val="04A0"/>
      </w:tblPr>
      <w:tblGrid>
        <w:gridCol w:w="3175"/>
        <w:gridCol w:w="3175"/>
        <w:gridCol w:w="3175"/>
      </w:tblGrid>
      <w:tr>
        <w:trPr>
          <w:tblHeader w:val="true"/>
        </w:trPr>
        <w:tc>
          <w:tcPr>
            <w:tcW w:type="dxa" w:w="2381"/>
            <w:shd w:fill="1F4E79"/>
            <w:tcMar>
              <w:top w:w="100" w:type="dxa"/>
              <w:start w:w="120" w:type="dxa"/>
              <w:bottom w:w="100" w:type="dxa"/>
              <w:end w:w="120" w:type="dxa"/>
            </w:tcMar>
            <w:vAlign w:val="center"/>
          </w:tcPr>
          <w:p>
            <w:pPr>
              <w:widowControl/>
              <w:spacing w:after="0"/>
              <w:jc w:val="left"/>
            </w:pPr>
            <w:r>
              <w:rPr>
                <w:rFonts w:ascii="Aptos" w:hAnsi="Aptos"/>
                <w:b/>
                <w:color w:val="FFFFFF"/>
                <w:sz w:val="19"/>
              </w:rPr>
              <w:t>Kanal/orodje</w:t>
            </w:r>
          </w:p>
        </w:tc>
        <w:tc>
          <w:tcPr>
            <w:tcW w:type="dxa" w:w="4649"/>
            <w:shd w:fill="1F4E79"/>
            <w:tcMar>
              <w:top w:w="100" w:type="dxa"/>
              <w:start w:w="120" w:type="dxa"/>
              <w:bottom w:w="100" w:type="dxa"/>
              <w:end w:w="120" w:type="dxa"/>
            </w:tcMar>
            <w:vAlign w:val="center"/>
          </w:tcPr>
          <w:p>
            <w:pPr>
              <w:widowControl/>
              <w:spacing w:after="0"/>
              <w:jc w:val="left"/>
            </w:pPr>
            <w:r>
              <w:rPr>
                <w:rFonts w:ascii="Aptos" w:hAnsi="Aptos"/>
                <w:b/>
                <w:color w:val="FFFFFF"/>
                <w:sz w:val="19"/>
              </w:rPr>
              <w:t>Uporaba</w:t>
            </w:r>
          </w:p>
        </w:tc>
        <w:tc>
          <w:tcPr>
            <w:tcW w:type="dxa" w:w="2494"/>
            <w:shd w:fill="1F4E79"/>
            <w:tcMar>
              <w:top w:w="100" w:type="dxa"/>
              <w:start w:w="120" w:type="dxa"/>
              <w:bottom w:w="100" w:type="dxa"/>
              <w:end w:w="120" w:type="dxa"/>
            </w:tcMar>
            <w:vAlign w:val="center"/>
          </w:tcPr>
          <w:p>
            <w:pPr>
              <w:widowControl/>
              <w:spacing w:after="0"/>
              <w:jc w:val="left"/>
            </w:pPr>
            <w:r>
              <w:rPr>
                <w:rFonts w:ascii="Aptos" w:hAnsi="Aptos"/>
                <w:b/>
                <w:color w:val="FFFFFF"/>
                <w:sz w:val="19"/>
              </w:rPr>
              <w:t>Opomba</w:t>
            </w:r>
          </w:p>
        </w:tc>
      </w:tr>
      <w:tr>
        <w:trPr/>
        <w:tc>
          <w:tcPr>
            <w:tcW w:type="dxa" w:w="2381"/>
            <w:tcMar>
              <w:top w:w="100" w:type="dxa"/>
              <w:start w:w="120" w:type="dxa"/>
              <w:bottom w:w="100" w:type="dxa"/>
              <w:end w:w="120" w:type="dxa"/>
            </w:tcMar>
            <w:vAlign w:val="center"/>
          </w:tcPr>
          <w:p>
            <w:pPr>
              <w:widowControl/>
              <w:spacing w:after="0" w:line="252" w:lineRule="auto"/>
            </w:pPr>
            <w:r>
              <w:rPr>
                <w:rFonts w:ascii="Aptos" w:hAnsi="Aptos"/>
                <w:sz w:val="18"/>
              </w:rPr>
              <w:t>Projektna spletna stran</w:t>
            </w:r>
          </w:p>
        </w:tc>
        <w:tc>
          <w:tcPr>
            <w:tcW w:type="dxa" w:w="4649"/>
            <w:tcMar>
              <w:top w:w="100" w:type="dxa"/>
              <w:start w:w="120" w:type="dxa"/>
              <w:bottom w:w="100" w:type="dxa"/>
              <w:end w:w="120" w:type="dxa"/>
            </w:tcMar>
            <w:vAlign w:val="center"/>
          </w:tcPr>
          <w:p>
            <w:pPr>
              <w:widowControl/>
              <w:spacing w:after="0" w:line="252" w:lineRule="auto"/>
            </w:pPr>
            <w:r>
              <w:rPr>
                <w:rFonts w:ascii="Aptos" w:hAnsi="Aptos"/>
                <w:sz w:val="18"/>
              </w:rPr>
              <w:t>Osrednje in trajno mesto za opis projekta, novice, vabila, komunikacijski načrt, rezultate in povezave do odprtih objav.</w:t>
            </w:r>
          </w:p>
        </w:tc>
        <w:tc>
          <w:tcPr>
            <w:tcW w:type="dxa" w:w="2494"/>
            <w:tcMar>
              <w:top w:w="100" w:type="dxa"/>
              <w:start w:w="120" w:type="dxa"/>
              <w:bottom w:w="100" w:type="dxa"/>
              <w:end w:w="120" w:type="dxa"/>
            </w:tcMar>
            <w:vAlign w:val="center"/>
          </w:tcPr>
          <w:p>
            <w:pPr>
              <w:widowControl/>
              <w:spacing w:after="0" w:line="252" w:lineRule="auto"/>
            </w:pPr>
            <w:r>
              <w:rPr>
                <w:rFonts w:ascii="Aptos" w:hAnsi="Aptos"/>
                <w:sz w:val="18"/>
              </w:rPr>
              <w:t>http://www.environment.si/en/projects/z6-70200/</w:t>
            </w:r>
          </w:p>
        </w:tc>
      </w:tr>
      <w:tr>
        <w:trPr/>
        <w:tc>
          <w:tcPr>
            <w:tcW w:type="dxa" w:w="2381"/>
            <w:tcMar>
              <w:top w:w="100" w:type="dxa"/>
              <w:start w:w="120" w:type="dxa"/>
              <w:bottom w:w="100" w:type="dxa"/>
              <w:end w:w="120" w:type="dxa"/>
            </w:tcMar>
            <w:vAlign w:val="center"/>
            <w:shd w:fill="F5F7FA"/>
          </w:tcPr>
          <w:p>
            <w:pPr>
              <w:widowControl/>
              <w:spacing w:after="0" w:line="252" w:lineRule="auto"/>
            </w:pPr>
            <w:r>
              <w:rPr>
                <w:rFonts w:ascii="Aptos" w:hAnsi="Aptos"/>
                <w:sz w:val="18"/>
              </w:rPr>
              <w:t>Kanali IJS, H2LLab in raziskovalne skupine</w:t>
            </w:r>
          </w:p>
        </w:tc>
        <w:tc>
          <w:tcPr>
            <w:tcW w:type="dxa" w:w="4649"/>
            <w:tcMar>
              <w:top w:w="100" w:type="dxa"/>
              <w:start w:w="120" w:type="dxa"/>
              <w:bottom w:w="100" w:type="dxa"/>
              <w:end w:w="120" w:type="dxa"/>
            </w:tcMar>
            <w:vAlign w:val="center"/>
            <w:shd w:fill="F5F7FA"/>
          </w:tcPr>
          <w:p>
            <w:pPr>
              <w:widowControl/>
              <w:spacing w:after="0" w:line="252" w:lineRule="auto"/>
            </w:pPr>
            <w:r>
              <w:rPr>
                <w:rFonts w:ascii="Aptos" w:hAnsi="Aptos"/>
                <w:sz w:val="18"/>
              </w:rPr>
              <w:t>Objave o mejnikih, dogodkih, možnostih sodelovanja in rezultatih; predvsem LinkedIn ter drugi obstoječi institucionalni kanali, kadar so primerni.</w:t>
            </w:r>
          </w:p>
        </w:tc>
        <w:tc>
          <w:tcPr>
            <w:tcW w:type="dxa" w:w="2494"/>
            <w:tcMar>
              <w:top w:w="100" w:type="dxa"/>
              <w:start w:w="120" w:type="dxa"/>
              <w:bottom w:w="100" w:type="dxa"/>
              <w:end w:w="120" w:type="dxa"/>
            </w:tcMar>
            <w:vAlign w:val="center"/>
            <w:shd w:fill="F5F7FA"/>
          </w:tcPr>
          <w:p>
            <w:pPr>
              <w:widowControl/>
              <w:spacing w:after="0" w:line="252" w:lineRule="auto"/>
            </w:pPr>
            <w:r>
              <w:rPr>
                <w:rFonts w:ascii="Aptos" w:hAnsi="Aptos"/>
                <w:sz w:val="18"/>
              </w:rPr>
              <w:t>Po potrebi skozi celoten projekt</w:t>
            </w:r>
          </w:p>
        </w:tc>
      </w:tr>
      <w:tr>
        <w:trPr/>
        <w:tc>
          <w:tcPr>
            <w:tcW w:type="dxa" w:w="2381"/>
            <w:tcMar>
              <w:top w:w="100" w:type="dxa"/>
              <w:start w:w="120" w:type="dxa"/>
              <w:bottom w:w="100" w:type="dxa"/>
              <w:end w:w="120" w:type="dxa"/>
            </w:tcMar>
            <w:vAlign w:val="center"/>
          </w:tcPr>
          <w:p>
            <w:pPr>
              <w:widowControl/>
              <w:spacing w:after="0" w:line="252" w:lineRule="auto"/>
            </w:pPr>
            <w:r>
              <w:rPr>
                <w:rFonts w:ascii="Aptos" w:hAnsi="Aptos"/>
                <w:sz w:val="18"/>
              </w:rPr>
              <w:t>Neposredno komuniciranje z deležniki</w:t>
            </w:r>
          </w:p>
        </w:tc>
        <w:tc>
          <w:tcPr>
            <w:tcW w:type="dxa" w:w="4649"/>
            <w:tcMar>
              <w:top w:w="100" w:type="dxa"/>
              <w:start w:w="120" w:type="dxa"/>
              <w:bottom w:w="100" w:type="dxa"/>
              <w:end w:w="120" w:type="dxa"/>
            </w:tcMar>
            <w:vAlign w:val="center"/>
          </w:tcPr>
          <w:p>
            <w:pPr>
              <w:widowControl/>
              <w:spacing w:after="0" w:line="252" w:lineRule="auto"/>
            </w:pPr>
            <w:r>
              <w:rPr>
                <w:rFonts w:ascii="Aptos" w:hAnsi="Aptos"/>
                <w:sz w:val="18"/>
              </w:rPr>
              <w:t>E-poštna vabila, sestanki, intervjuji, fokusne skupine, participativne delavnice, predstavitve prototipov in validacijski dogodki.</w:t>
            </w:r>
          </w:p>
        </w:tc>
        <w:tc>
          <w:tcPr>
            <w:tcW w:type="dxa" w:w="2494"/>
            <w:tcMar>
              <w:top w:w="100" w:type="dxa"/>
              <w:start w:w="120" w:type="dxa"/>
              <w:bottom w:w="100" w:type="dxa"/>
              <w:end w:w="120" w:type="dxa"/>
            </w:tcMar>
            <w:vAlign w:val="center"/>
          </w:tcPr>
          <w:p>
            <w:pPr>
              <w:widowControl/>
              <w:spacing w:after="0" w:line="252" w:lineRule="auto"/>
            </w:pPr>
            <w:r>
              <w:rPr>
                <w:rFonts w:ascii="Aptos" w:hAnsi="Aptos"/>
                <w:sz w:val="18"/>
              </w:rPr>
              <w:t>Ključno za lokalne in strokovne ciljne skupine</w:t>
            </w:r>
          </w:p>
        </w:tc>
      </w:tr>
      <w:tr>
        <w:trPr/>
        <w:tc>
          <w:tcPr>
            <w:tcW w:type="dxa" w:w="2381"/>
            <w:tcMar>
              <w:top w:w="100" w:type="dxa"/>
              <w:start w:w="120" w:type="dxa"/>
              <w:bottom w:w="100" w:type="dxa"/>
              <w:end w:w="120" w:type="dxa"/>
            </w:tcMar>
            <w:vAlign w:val="center"/>
            <w:shd w:fill="F5F7FA"/>
          </w:tcPr>
          <w:p>
            <w:pPr>
              <w:widowControl/>
              <w:spacing w:after="0" w:line="252" w:lineRule="auto"/>
            </w:pPr>
            <w:r>
              <w:rPr>
                <w:rFonts w:ascii="Aptos" w:hAnsi="Aptos"/>
                <w:sz w:val="18"/>
              </w:rPr>
              <w:t>Znanstvene objave</w:t>
            </w:r>
          </w:p>
        </w:tc>
        <w:tc>
          <w:tcPr>
            <w:tcW w:type="dxa" w:w="4649"/>
            <w:tcMar>
              <w:top w:w="100" w:type="dxa"/>
              <w:start w:w="120" w:type="dxa"/>
              <w:bottom w:w="100" w:type="dxa"/>
              <w:end w:w="120" w:type="dxa"/>
            </w:tcMar>
            <w:vAlign w:val="center"/>
            <w:shd w:fill="F5F7FA"/>
          </w:tcPr>
          <w:p>
            <w:pPr>
              <w:widowControl/>
              <w:spacing w:after="0" w:line="252" w:lineRule="auto"/>
            </w:pPr>
            <w:r>
              <w:rPr>
                <w:rFonts w:ascii="Aptos" w:hAnsi="Aptos"/>
                <w:sz w:val="18"/>
              </w:rPr>
              <w:t>Predvidoma revije, kot so Journal of Artificial Societies and Social Simulation, Environmental Modelling &amp; Software, International Journal of Disaster Risk Reduction oziroma druge vsebinsko ustrezne revije.</w:t>
            </w:r>
          </w:p>
        </w:tc>
        <w:tc>
          <w:tcPr>
            <w:tcW w:type="dxa" w:w="2494"/>
            <w:tcMar>
              <w:top w:w="100" w:type="dxa"/>
              <w:start w:w="120" w:type="dxa"/>
              <w:bottom w:w="100" w:type="dxa"/>
              <w:end w:w="120" w:type="dxa"/>
            </w:tcMar>
            <w:vAlign w:val="center"/>
            <w:shd w:fill="F5F7FA"/>
          </w:tcPr>
          <w:p>
            <w:pPr>
              <w:widowControl/>
              <w:spacing w:after="0" w:line="252" w:lineRule="auto"/>
            </w:pPr>
            <w:r>
              <w:rPr>
                <w:rFonts w:ascii="Aptos" w:hAnsi="Aptos"/>
                <w:sz w:val="18"/>
              </w:rPr>
              <w:t>Končni izbor bo odvisen od rezultatov in dosega posamezne revije</w:t>
            </w:r>
          </w:p>
        </w:tc>
      </w:tr>
      <w:tr>
        <w:trPr/>
        <w:tc>
          <w:tcPr>
            <w:tcW w:type="dxa" w:w="2381"/>
            <w:tcMar>
              <w:top w:w="100" w:type="dxa"/>
              <w:start w:w="120" w:type="dxa"/>
              <w:bottom w:w="100" w:type="dxa"/>
              <w:end w:w="120" w:type="dxa"/>
            </w:tcMar>
            <w:vAlign w:val="center"/>
          </w:tcPr>
          <w:p>
            <w:pPr>
              <w:widowControl/>
              <w:spacing w:after="0" w:line="252" w:lineRule="auto"/>
            </w:pPr>
            <w:r>
              <w:rPr>
                <w:rFonts w:ascii="Aptos" w:hAnsi="Aptos"/>
                <w:sz w:val="18"/>
              </w:rPr>
              <w:t>Konference in strokovni dogodki</w:t>
            </w:r>
          </w:p>
        </w:tc>
        <w:tc>
          <w:tcPr>
            <w:tcW w:type="dxa" w:w="4649"/>
            <w:tcMar>
              <w:top w:w="100" w:type="dxa"/>
              <w:start w:w="120" w:type="dxa"/>
              <w:bottom w:w="100" w:type="dxa"/>
              <w:end w:w="120" w:type="dxa"/>
            </w:tcMar>
            <w:vAlign w:val="center"/>
          </w:tcPr>
          <w:p>
            <w:pPr>
              <w:widowControl/>
              <w:spacing w:after="0" w:line="252" w:lineRule="auto"/>
            </w:pPr>
            <w:r>
              <w:rPr>
                <w:rFonts w:ascii="Aptos" w:hAnsi="Aptos"/>
                <w:sz w:val="18"/>
              </w:rPr>
              <w:t>Social Simulation Conference/ESSA, dogodki ECSA ter konference in srečanja s področij obvladovanja poplav, participativnega modeliranja, občanske znanosti in na naravi temelječih rešitev.</w:t>
            </w:r>
          </w:p>
        </w:tc>
        <w:tc>
          <w:tcPr>
            <w:tcW w:type="dxa" w:w="2494"/>
            <w:tcMar>
              <w:top w:w="100" w:type="dxa"/>
              <w:start w:w="120" w:type="dxa"/>
              <w:bottom w:w="100" w:type="dxa"/>
              <w:end w:w="120" w:type="dxa"/>
            </w:tcMar>
            <w:vAlign w:val="center"/>
          </w:tcPr>
          <w:p>
            <w:pPr>
              <w:widowControl/>
              <w:spacing w:after="0" w:line="252" w:lineRule="auto"/>
            </w:pPr>
            <w:r>
              <w:rPr>
                <w:rFonts w:ascii="Aptos" w:hAnsi="Aptos"/>
                <w:sz w:val="18"/>
              </w:rPr>
              <w:t>Predstavitve metod, vmesnih in končnih rezultatov</w:t>
            </w:r>
          </w:p>
        </w:tc>
      </w:tr>
      <w:tr>
        <w:trPr/>
        <w:tc>
          <w:tcPr>
            <w:tcW w:type="dxa" w:w="2381"/>
            <w:tcMar>
              <w:top w:w="100" w:type="dxa"/>
              <w:start w:w="120" w:type="dxa"/>
              <w:bottom w:w="100" w:type="dxa"/>
              <w:end w:w="120" w:type="dxa"/>
            </w:tcMar>
            <w:vAlign w:val="center"/>
            <w:shd w:fill="F5F7FA"/>
          </w:tcPr>
          <w:p>
            <w:pPr>
              <w:widowControl/>
              <w:spacing w:after="0" w:line="252" w:lineRule="auto"/>
            </w:pPr>
            <w:r>
              <w:rPr>
                <w:rFonts w:ascii="Aptos" w:hAnsi="Aptos"/>
                <w:sz w:val="18"/>
              </w:rPr>
              <w:t>Odprti repozitoriji in razvojne platforme</w:t>
            </w:r>
          </w:p>
        </w:tc>
        <w:tc>
          <w:tcPr>
            <w:tcW w:type="dxa" w:w="4649"/>
            <w:tcMar>
              <w:top w:w="100" w:type="dxa"/>
              <w:start w:w="120" w:type="dxa"/>
              <w:bottom w:w="100" w:type="dxa"/>
              <w:end w:w="120" w:type="dxa"/>
            </w:tcMar>
            <w:vAlign w:val="center"/>
            <w:shd w:fill="F5F7FA"/>
          </w:tcPr>
          <w:p>
            <w:pPr>
              <w:widowControl/>
              <w:spacing w:after="0" w:line="252" w:lineRule="auto"/>
            </w:pPr>
            <w:r>
              <w:rPr>
                <w:rFonts w:ascii="Aptos" w:hAnsi="Aptos"/>
                <w:sz w:val="18"/>
              </w:rPr>
              <w:t>Zenodo za arhivske različice podatkov, dokumentacije in kode; DiRROS za primerne raziskovalne rezultate; GitHub ali GitLab za razvoj kode, kadar bo to ustrezno.</w:t>
            </w:r>
          </w:p>
        </w:tc>
        <w:tc>
          <w:tcPr>
            <w:tcW w:type="dxa" w:w="2494"/>
            <w:tcMar>
              <w:top w:w="100" w:type="dxa"/>
              <w:start w:w="120" w:type="dxa"/>
              <w:bottom w:w="100" w:type="dxa"/>
              <w:end w:w="120" w:type="dxa"/>
            </w:tcMar>
            <w:vAlign w:val="center"/>
            <w:shd w:fill="F5F7FA"/>
          </w:tcPr>
          <w:p>
            <w:pPr>
              <w:widowControl/>
              <w:spacing w:after="0" w:line="252" w:lineRule="auto"/>
            </w:pPr>
            <w:r>
              <w:rPr>
                <w:rFonts w:ascii="Aptos" w:hAnsi="Aptos"/>
                <w:sz w:val="18"/>
              </w:rPr>
              <w:t>V skladu z NRRP in načeli FAIR</w:t>
            </w:r>
          </w:p>
        </w:tc>
      </w:tr>
      <w:tr>
        <w:trPr/>
        <w:tc>
          <w:tcPr>
            <w:tcW w:type="dxa" w:w="2381"/>
            <w:tcMar>
              <w:top w:w="100" w:type="dxa"/>
              <w:start w:w="120" w:type="dxa"/>
              <w:bottom w:w="100" w:type="dxa"/>
              <w:end w:w="120" w:type="dxa"/>
            </w:tcMar>
            <w:vAlign w:val="center"/>
          </w:tcPr>
          <w:p>
            <w:pPr>
              <w:widowControl/>
              <w:spacing w:after="0" w:line="252" w:lineRule="auto"/>
            </w:pPr>
            <w:r>
              <w:rPr>
                <w:rFonts w:ascii="Aptos" w:hAnsi="Aptos"/>
                <w:sz w:val="18"/>
              </w:rPr>
              <w:t>Poljudni in medijski formati</w:t>
            </w:r>
          </w:p>
        </w:tc>
        <w:tc>
          <w:tcPr>
            <w:tcW w:type="dxa" w:w="4649"/>
            <w:tcMar>
              <w:top w:w="100" w:type="dxa"/>
              <w:start w:w="120" w:type="dxa"/>
              <w:bottom w:w="100" w:type="dxa"/>
              <w:end w:w="120" w:type="dxa"/>
            </w:tcMar>
            <w:vAlign w:val="center"/>
          </w:tcPr>
          <w:p>
            <w:pPr>
              <w:widowControl/>
              <w:spacing w:after="0" w:line="252" w:lineRule="auto"/>
            </w:pPr>
            <w:r>
              <w:rPr>
                <w:rFonts w:ascii="Aptos" w:hAnsi="Aptos"/>
                <w:sz w:val="18"/>
              </w:rPr>
              <w:t>Novice, krajši poljudni prispevki, intervjuji ali lokalni medijski prispevki ob pomembnih mejnikih in rezultatih.</w:t>
            </w:r>
          </w:p>
        </w:tc>
        <w:tc>
          <w:tcPr>
            <w:tcW w:type="dxa" w:w="2494"/>
            <w:tcMar>
              <w:top w:w="100" w:type="dxa"/>
              <w:start w:w="120" w:type="dxa"/>
              <w:bottom w:w="100" w:type="dxa"/>
              <w:end w:w="120" w:type="dxa"/>
            </w:tcMar>
            <w:vAlign w:val="center"/>
          </w:tcPr>
          <w:p>
            <w:pPr>
              <w:widowControl/>
              <w:spacing w:after="0" w:line="252" w:lineRule="auto"/>
            </w:pPr>
            <w:r>
              <w:rPr>
                <w:rFonts w:ascii="Aptos" w:hAnsi="Aptos"/>
                <w:sz w:val="18"/>
              </w:rPr>
              <w:t>Selektivno, kadar obstaja jasna vsebinska novost</w:t>
            </w:r>
          </w:p>
        </w:tc>
      </w:tr>
      <w:tr>
        <w:trPr/>
        <w:tc>
          <w:tcPr>
            <w:tcW w:type="dxa" w:w="2381"/>
            <w:tcMar>
              <w:top w:w="100" w:type="dxa"/>
              <w:start w:w="120" w:type="dxa"/>
              <w:bottom w:w="100" w:type="dxa"/>
              <w:end w:w="120" w:type="dxa"/>
            </w:tcMar>
            <w:vAlign w:val="center"/>
            <w:shd w:fill="F5F7FA"/>
          </w:tcPr>
          <w:p>
            <w:pPr>
              <w:widowControl/>
              <w:spacing w:after="0" w:line="252" w:lineRule="auto"/>
            </w:pPr>
            <w:r>
              <w:rPr>
                <w:rFonts w:ascii="Aptos" w:hAnsi="Aptos"/>
                <w:sz w:val="18"/>
              </w:rPr>
              <w:t>Sodelujoče pobude</w:t>
            </w:r>
          </w:p>
        </w:tc>
        <w:tc>
          <w:tcPr>
            <w:tcW w:type="dxa" w:w="4649"/>
            <w:tcMar>
              <w:top w:w="100" w:type="dxa"/>
              <w:start w:w="120" w:type="dxa"/>
              <w:bottom w:w="100" w:type="dxa"/>
              <w:end w:w="120" w:type="dxa"/>
            </w:tcMar>
            <w:vAlign w:val="center"/>
            <w:shd w:fill="F5F7FA"/>
          </w:tcPr>
          <w:p>
            <w:pPr>
              <w:widowControl/>
              <w:spacing w:after="0" w:line="252" w:lineRule="auto"/>
            </w:pPr>
            <w:r>
              <w:rPr>
                <w:rFonts w:ascii="Aptos" w:hAnsi="Aptos"/>
                <w:sz w:val="18"/>
              </w:rPr>
              <w:t>Medsebojno širjenje relevantnih vsebin z LIFE2Rivers in drugimi pobudami na podlagi dogovora; brez predstavljanja teh pobud kot formalnih partnerjev projekta.</w:t>
            </w:r>
          </w:p>
        </w:tc>
        <w:tc>
          <w:tcPr>
            <w:tcW w:type="dxa" w:w="2494"/>
            <w:tcMar>
              <w:top w:w="100" w:type="dxa"/>
              <w:start w:w="120" w:type="dxa"/>
              <w:bottom w:w="100" w:type="dxa"/>
              <w:end w:w="120" w:type="dxa"/>
            </w:tcMar>
            <w:vAlign w:val="center"/>
            <w:shd w:fill="F5F7FA"/>
          </w:tcPr>
          <w:p>
            <w:pPr>
              <w:widowControl/>
              <w:spacing w:after="0" w:line="252" w:lineRule="auto"/>
            </w:pPr>
            <w:r>
              <w:rPr>
                <w:rFonts w:ascii="Aptos" w:hAnsi="Aptos"/>
                <w:sz w:val="18"/>
              </w:rPr>
              <w:t>Ob vsebinskih presečiščih</w:t>
            </w:r>
          </w:p>
        </w:tc>
      </w:tr>
    </w:tbl>
    <w:p>
      <w:pPr>
        <w:spacing w:after="0"/>
      </w:pPr>
    </w:p>
    <w:p>
      <w:pPr>
        <w:pStyle w:val="Heading2"/>
        <w:keepNext/>
      </w:pPr>
      <w:r>
        <w:t>Način komuniciranja</w:t>
      </w:r>
    </w:p>
    <w:p>
      <w:pPr>
        <w:pStyle w:val="ListBullet"/>
        <w:spacing w:after="80" w:line="264" w:lineRule="auto"/>
      </w:pPr>
      <w:r>
        <w:rPr>
          <w:rFonts w:ascii="Aptos" w:hAnsi="Aptos"/>
        </w:rPr>
        <w:t>Jezik in raven podrobnosti bosta prilagojena ciljni skupini; kratice in tehnični izrazi bodo pri komunikaciji s širšo javnostjo pojasnjeni ali opuščeni.</w:t>
      </w:r>
    </w:p>
    <w:p>
      <w:pPr>
        <w:pStyle w:val="ListBullet"/>
        <w:spacing w:after="80" w:line="264" w:lineRule="auto"/>
      </w:pPr>
      <w:r>
        <w:rPr>
          <w:rFonts w:ascii="Aptos" w:hAnsi="Aptos"/>
        </w:rPr>
        <w:t>Komunikacija ne bo pretiravala z gotovostjo modelskih rezultatov. Jasno bodo navedene predpostavke, negotovosti in omejitve uporabe.</w:t>
      </w:r>
    </w:p>
    <w:p>
      <w:pPr>
        <w:pStyle w:val="ListBullet"/>
        <w:spacing w:after="80" w:line="264" w:lineRule="auto"/>
      </w:pPr>
      <w:r>
        <w:rPr>
          <w:rFonts w:ascii="Aptos" w:hAnsi="Aptos"/>
        </w:rPr>
        <w:t>Pri objavah, ki temeljijo na sodelovanju deležnikov, bodo spoštovani dogovorjeni načini navajanja, zasebnost udeležencev in načela informiranega soglasja.</w:t>
      </w:r>
    </w:p>
    <w:p>
      <w:pPr>
        <w:pStyle w:val="ListBullet"/>
        <w:spacing w:after="80" w:line="264" w:lineRule="auto"/>
      </w:pPr>
      <w:r>
        <w:rPr>
          <w:rFonts w:ascii="Aptos" w:hAnsi="Aptos"/>
        </w:rPr>
        <w:t>Vizualne vsebine bodo uporabljene predvsem za razlago procesov, scenarijev in rezultatov modela, ne kot nadomestilo za vsebinsko razlago.</w:t>
      </w:r>
    </w:p>
    <w:p>
      <w:pPr>
        <w:pStyle w:val="Heading1"/>
        <w:keepNext/>
      </w:pPr>
      <w:r>
        <w:t>5. Časovni načrt komuniciranja</w:t>
      </w:r>
    </w:p>
    <w:tbl>
      <w:tblPr>
        <w:tblStyle w:val="TableGrid"/>
        <w:tblW w:type="auto" w:w="0"/>
        <w:jc w:val="center"/>
        <w:tblLayout w:type="fixed"/>
        <w:tblLook w:firstColumn="1" w:firstRow="1" w:lastColumn="0" w:lastRow="0" w:noHBand="0" w:noVBand="1" w:val="04A0"/>
      </w:tblPr>
      <w:tblGrid>
        <w:gridCol w:w="3175"/>
        <w:gridCol w:w="3175"/>
        <w:gridCol w:w="3175"/>
      </w:tblGrid>
      <w:tr>
        <w:trPr>
          <w:tblHeader w:val="true"/>
        </w:trPr>
        <w:tc>
          <w:tcPr>
            <w:tcW w:type="dxa" w:w="2041"/>
            <w:shd w:fill="1F4E79"/>
            <w:tcMar>
              <w:top w:w="100" w:type="dxa"/>
              <w:start w:w="120" w:type="dxa"/>
              <w:bottom w:w="100" w:type="dxa"/>
              <w:end w:w="120" w:type="dxa"/>
            </w:tcMar>
            <w:vAlign w:val="center"/>
          </w:tcPr>
          <w:p>
            <w:pPr>
              <w:widowControl/>
              <w:spacing w:after="0"/>
              <w:jc w:val="left"/>
            </w:pPr>
            <w:r>
              <w:rPr>
                <w:rFonts w:ascii="Aptos" w:hAnsi="Aptos"/>
                <w:b/>
                <w:color w:val="FFFFFF"/>
                <w:sz w:val="19"/>
              </w:rPr>
              <w:t>Obdobje</w:t>
            </w:r>
          </w:p>
        </w:tc>
        <w:tc>
          <w:tcPr>
            <w:tcW w:type="dxa" w:w="1984"/>
            <w:shd w:fill="1F4E79"/>
            <w:tcMar>
              <w:top w:w="100" w:type="dxa"/>
              <w:start w:w="120" w:type="dxa"/>
              <w:bottom w:w="100" w:type="dxa"/>
              <w:end w:w="120" w:type="dxa"/>
            </w:tcMar>
            <w:vAlign w:val="center"/>
          </w:tcPr>
          <w:p>
            <w:pPr>
              <w:widowControl/>
              <w:spacing w:after="0"/>
              <w:jc w:val="left"/>
            </w:pPr>
            <w:r>
              <w:rPr>
                <w:rFonts w:ascii="Aptos" w:hAnsi="Aptos"/>
                <w:b/>
                <w:color w:val="FFFFFF"/>
                <w:sz w:val="19"/>
              </w:rPr>
              <w:t>Faza</w:t>
            </w:r>
          </w:p>
        </w:tc>
        <w:tc>
          <w:tcPr>
            <w:tcW w:type="dxa" w:w="5499"/>
            <w:shd w:fill="1F4E79"/>
            <w:tcMar>
              <w:top w:w="100" w:type="dxa"/>
              <w:start w:w="120" w:type="dxa"/>
              <w:bottom w:w="100" w:type="dxa"/>
              <w:end w:w="120" w:type="dxa"/>
            </w:tcMar>
            <w:vAlign w:val="center"/>
          </w:tcPr>
          <w:p>
            <w:pPr>
              <w:widowControl/>
              <w:spacing w:after="0"/>
              <w:jc w:val="left"/>
            </w:pPr>
            <w:r>
              <w:rPr>
                <w:rFonts w:ascii="Aptos" w:hAnsi="Aptos"/>
                <w:b/>
                <w:color w:val="FFFFFF"/>
                <w:sz w:val="19"/>
              </w:rPr>
              <w:t>Predvidene aktivnosti</w:t>
            </w:r>
          </w:p>
        </w:tc>
      </w:tr>
      <w:tr>
        <w:trPr/>
        <w:tc>
          <w:tcPr>
            <w:tcW w:type="dxa" w:w="2041"/>
            <w:tcMar>
              <w:top w:w="100" w:type="dxa"/>
              <w:start w:w="120" w:type="dxa"/>
              <w:bottom w:w="100" w:type="dxa"/>
              <w:end w:w="120" w:type="dxa"/>
            </w:tcMar>
            <w:vAlign w:val="center"/>
          </w:tcPr>
          <w:p>
            <w:pPr>
              <w:widowControl/>
              <w:spacing w:after="0" w:line="252" w:lineRule="auto"/>
            </w:pPr>
            <w:r>
              <w:rPr>
                <w:rFonts w:ascii="Aptos" w:hAnsi="Aptos"/>
                <w:sz w:val="18"/>
              </w:rPr>
              <w:t>Marec–avgust 2026</w:t>
            </w:r>
          </w:p>
        </w:tc>
        <w:tc>
          <w:tcPr>
            <w:tcW w:type="dxa" w:w="1984"/>
            <w:tcMar>
              <w:top w:w="100" w:type="dxa"/>
              <w:start w:w="120" w:type="dxa"/>
              <w:bottom w:w="100" w:type="dxa"/>
              <w:end w:w="120" w:type="dxa"/>
            </w:tcMar>
            <w:vAlign w:val="center"/>
          </w:tcPr>
          <w:p>
            <w:pPr>
              <w:widowControl/>
              <w:spacing w:after="0" w:line="252" w:lineRule="auto"/>
            </w:pPr>
            <w:r>
              <w:rPr>
                <w:rFonts w:ascii="Aptos" w:hAnsi="Aptos"/>
                <w:sz w:val="18"/>
              </w:rPr>
              <w:t>Vzpostavitev</w:t>
            </w:r>
          </w:p>
        </w:tc>
        <w:tc>
          <w:tcPr>
            <w:tcW w:type="dxa" w:w="5499"/>
            <w:tcMar>
              <w:top w:w="100" w:type="dxa"/>
              <w:start w:w="120" w:type="dxa"/>
              <w:bottom w:w="100" w:type="dxa"/>
              <w:end w:w="120" w:type="dxa"/>
            </w:tcMar>
            <w:vAlign w:val="center"/>
          </w:tcPr>
          <w:p>
            <w:pPr>
              <w:widowControl/>
              <w:spacing w:after="0" w:line="252" w:lineRule="auto"/>
            </w:pPr>
            <w:r>
              <w:rPr>
                <w:rFonts w:ascii="Aptos" w:hAnsi="Aptos"/>
                <w:sz w:val="18"/>
              </w:rPr>
              <w:t>Predstavitev projekta in ciljev; objava komunikacijskega načrta; priprava osnovnih sporočil in gradiv; začetno kartiranje deležnikov; vzpostavljanje povezav z LIFE2Rivers in drugimi pobudami.</w:t>
            </w:r>
          </w:p>
        </w:tc>
      </w:tr>
      <w:tr>
        <w:trPr/>
        <w:tc>
          <w:tcPr>
            <w:tcW w:type="dxa" w:w="2041"/>
            <w:tcMar>
              <w:top w:w="100" w:type="dxa"/>
              <w:start w:w="120" w:type="dxa"/>
              <w:bottom w:w="100" w:type="dxa"/>
              <w:end w:w="120" w:type="dxa"/>
            </w:tcMar>
            <w:vAlign w:val="center"/>
            <w:shd w:fill="F5F7FA"/>
          </w:tcPr>
          <w:p>
            <w:pPr>
              <w:widowControl/>
              <w:spacing w:after="0" w:line="252" w:lineRule="auto"/>
            </w:pPr>
            <w:r>
              <w:rPr>
                <w:rFonts w:ascii="Aptos" w:hAnsi="Aptos"/>
                <w:sz w:val="18"/>
              </w:rPr>
              <w:t>September 2026–februar 2027</w:t>
            </w:r>
          </w:p>
        </w:tc>
        <w:tc>
          <w:tcPr>
            <w:tcW w:type="dxa" w:w="1984"/>
            <w:tcMar>
              <w:top w:w="100" w:type="dxa"/>
              <w:start w:w="120" w:type="dxa"/>
              <w:bottom w:w="100" w:type="dxa"/>
              <w:end w:w="120" w:type="dxa"/>
            </w:tcMar>
            <w:vAlign w:val="center"/>
            <w:shd w:fill="F5F7FA"/>
          </w:tcPr>
          <w:p>
            <w:pPr>
              <w:widowControl/>
              <w:spacing w:after="0" w:line="252" w:lineRule="auto"/>
            </w:pPr>
            <w:r>
              <w:rPr>
                <w:rFonts w:ascii="Aptos" w:hAnsi="Aptos"/>
                <w:sz w:val="18"/>
              </w:rPr>
              <w:t>Vključevanje in zbiranje podatkov</w:t>
            </w:r>
          </w:p>
        </w:tc>
        <w:tc>
          <w:tcPr>
            <w:tcW w:type="dxa" w:w="5499"/>
            <w:tcMar>
              <w:top w:w="100" w:type="dxa"/>
              <w:start w:w="120" w:type="dxa"/>
              <w:bottom w:w="100" w:type="dxa"/>
              <w:end w:w="120" w:type="dxa"/>
            </w:tcMar>
            <w:vAlign w:val="center"/>
            <w:shd w:fill="F5F7FA"/>
          </w:tcPr>
          <w:p>
            <w:pPr>
              <w:widowControl/>
              <w:spacing w:after="0" w:line="252" w:lineRule="auto"/>
            </w:pPr>
            <w:r>
              <w:rPr>
                <w:rFonts w:ascii="Aptos" w:hAnsi="Aptos"/>
                <w:sz w:val="18"/>
              </w:rPr>
              <w:t>Ciljna vabila za intervjuje, fokusne skupine in druge aktivnosti; obveščanje o poteku; povratne informacije sodelujočim; predstavitve pristopa strokovni in lokalni javnosti.</w:t>
            </w:r>
          </w:p>
        </w:tc>
      </w:tr>
      <w:tr>
        <w:trPr/>
        <w:tc>
          <w:tcPr>
            <w:tcW w:type="dxa" w:w="2041"/>
            <w:tcMar>
              <w:top w:w="100" w:type="dxa"/>
              <w:start w:w="120" w:type="dxa"/>
              <w:bottom w:w="100" w:type="dxa"/>
              <w:end w:w="120" w:type="dxa"/>
            </w:tcMar>
            <w:vAlign w:val="center"/>
          </w:tcPr>
          <w:p>
            <w:pPr>
              <w:widowControl/>
              <w:spacing w:after="0" w:line="252" w:lineRule="auto"/>
            </w:pPr>
            <w:r>
              <w:rPr>
                <w:rFonts w:ascii="Aptos" w:hAnsi="Aptos"/>
                <w:sz w:val="18"/>
              </w:rPr>
              <w:t>Marec–avgust 2027</w:t>
            </w:r>
          </w:p>
        </w:tc>
        <w:tc>
          <w:tcPr>
            <w:tcW w:type="dxa" w:w="1984"/>
            <w:tcMar>
              <w:top w:w="100" w:type="dxa"/>
              <w:start w:w="120" w:type="dxa"/>
              <w:bottom w:w="100" w:type="dxa"/>
              <w:end w:w="120" w:type="dxa"/>
            </w:tcMar>
            <w:vAlign w:val="center"/>
          </w:tcPr>
          <w:p>
            <w:pPr>
              <w:widowControl/>
              <w:spacing w:after="0" w:line="252" w:lineRule="auto"/>
            </w:pPr>
            <w:r>
              <w:rPr>
                <w:rFonts w:ascii="Aptos" w:hAnsi="Aptos"/>
                <w:sz w:val="18"/>
              </w:rPr>
              <w:t>Soustvarjanje in razvoj modela</w:t>
            </w:r>
          </w:p>
        </w:tc>
        <w:tc>
          <w:tcPr>
            <w:tcW w:type="dxa" w:w="5499"/>
            <w:tcMar>
              <w:top w:w="100" w:type="dxa"/>
              <w:start w:w="120" w:type="dxa"/>
              <w:bottom w:w="100" w:type="dxa"/>
              <w:end w:w="120" w:type="dxa"/>
            </w:tcMar>
            <w:vAlign w:val="center"/>
          </w:tcPr>
          <w:p>
            <w:pPr>
              <w:widowControl/>
              <w:spacing w:after="0" w:line="252" w:lineRule="auto"/>
            </w:pPr>
            <w:r>
              <w:rPr>
                <w:rFonts w:ascii="Aptos" w:hAnsi="Aptos"/>
                <w:sz w:val="18"/>
              </w:rPr>
              <w:t>Participativne delavnice; predstavitve vedenjskih pravil in prvih scenarijev; prikazi prototipa; vmesne znanstvene in strokovne predstavitve; spletne novice ob pomembnih mejnikih.</w:t>
            </w:r>
          </w:p>
        </w:tc>
      </w:tr>
      <w:tr>
        <w:trPr/>
        <w:tc>
          <w:tcPr>
            <w:tcW w:type="dxa" w:w="2041"/>
            <w:tcMar>
              <w:top w:w="100" w:type="dxa"/>
              <w:start w:w="120" w:type="dxa"/>
              <w:bottom w:w="100" w:type="dxa"/>
              <w:end w:w="120" w:type="dxa"/>
            </w:tcMar>
            <w:vAlign w:val="center"/>
            <w:shd w:fill="F5F7FA"/>
          </w:tcPr>
          <w:p>
            <w:pPr>
              <w:widowControl/>
              <w:spacing w:after="0" w:line="252" w:lineRule="auto"/>
            </w:pPr>
            <w:r>
              <w:rPr>
                <w:rFonts w:ascii="Aptos" w:hAnsi="Aptos"/>
                <w:sz w:val="18"/>
              </w:rPr>
              <w:t>September 2027–januar 2028</w:t>
            </w:r>
          </w:p>
        </w:tc>
        <w:tc>
          <w:tcPr>
            <w:tcW w:type="dxa" w:w="1984"/>
            <w:tcMar>
              <w:top w:w="100" w:type="dxa"/>
              <w:start w:w="120" w:type="dxa"/>
              <w:bottom w:w="100" w:type="dxa"/>
              <w:end w:w="120" w:type="dxa"/>
            </w:tcMar>
            <w:vAlign w:val="center"/>
            <w:shd w:fill="F5F7FA"/>
          </w:tcPr>
          <w:p>
            <w:pPr>
              <w:widowControl/>
              <w:spacing w:after="0" w:line="252" w:lineRule="auto"/>
            </w:pPr>
            <w:r>
              <w:rPr>
                <w:rFonts w:ascii="Aptos" w:hAnsi="Aptos"/>
                <w:sz w:val="18"/>
              </w:rPr>
              <w:t>Preizkušanje in validacija</w:t>
            </w:r>
          </w:p>
        </w:tc>
        <w:tc>
          <w:tcPr>
            <w:tcW w:type="dxa" w:w="5499"/>
            <w:tcMar>
              <w:top w:w="100" w:type="dxa"/>
              <w:start w:w="120" w:type="dxa"/>
              <w:bottom w:w="100" w:type="dxa"/>
              <w:end w:w="120" w:type="dxa"/>
            </w:tcMar>
            <w:vAlign w:val="center"/>
            <w:shd w:fill="F5F7FA"/>
          </w:tcPr>
          <w:p>
            <w:pPr>
              <w:widowControl/>
              <w:spacing w:after="0" w:line="252" w:lineRule="auto"/>
            </w:pPr>
            <w:r>
              <w:rPr>
                <w:rFonts w:ascii="Aptos" w:hAnsi="Aptos"/>
                <w:sz w:val="18"/>
              </w:rPr>
              <w:t>Vključevanje deležnikov v preverjanje modela; predstavitev scenarijev, na naravi temelječih rešitev in elementov podpore odločanju; priprava publikacij, kode in odprtih rezultatov.</w:t>
            </w:r>
          </w:p>
        </w:tc>
      </w:tr>
      <w:tr>
        <w:trPr/>
        <w:tc>
          <w:tcPr>
            <w:tcW w:type="dxa" w:w="2041"/>
            <w:tcMar>
              <w:top w:w="100" w:type="dxa"/>
              <w:start w:w="120" w:type="dxa"/>
              <w:bottom w:w="100" w:type="dxa"/>
              <w:end w:w="120" w:type="dxa"/>
            </w:tcMar>
            <w:vAlign w:val="center"/>
          </w:tcPr>
          <w:p>
            <w:pPr>
              <w:widowControl/>
              <w:spacing w:after="0" w:line="252" w:lineRule="auto"/>
            </w:pPr>
            <w:r>
              <w:rPr>
                <w:rFonts w:ascii="Aptos" w:hAnsi="Aptos"/>
                <w:sz w:val="18"/>
              </w:rPr>
              <w:t>Februar 2028 in po zaključku</w:t>
            </w:r>
          </w:p>
        </w:tc>
        <w:tc>
          <w:tcPr>
            <w:tcW w:type="dxa" w:w="1984"/>
            <w:tcMar>
              <w:top w:w="100" w:type="dxa"/>
              <w:start w:w="120" w:type="dxa"/>
              <w:bottom w:w="100" w:type="dxa"/>
              <w:end w:w="120" w:type="dxa"/>
            </w:tcMar>
            <w:vAlign w:val="center"/>
          </w:tcPr>
          <w:p>
            <w:pPr>
              <w:widowControl/>
              <w:spacing w:after="0" w:line="252" w:lineRule="auto"/>
            </w:pPr>
            <w:r>
              <w:rPr>
                <w:rFonts w:ascii="Aptos" w:hAnsi="Aptos"/>
                <w:sz w:val="18"/>
              </w:rPr>
              <w:t>Zaključek in trajnost rezultatov</w:t>
            </w:r>
          </w:p>
        </w:tc>
        <w:tc>
          <w:tcPr>
            <w:tcW w:type="dxa" w:w="5499"/>
            <w:tcMar>
              <w:top w:w="100" w:type="dxa"/>
              <w:start w:w="120" w:type="dxa"/>
              <w:bottom w:w="100" w:type="dxa"/>
              <w:end w:w="120" w:type="dxa"/>
            </w:tcMar>
            <w:vAlign w:val="center"/>
          </w:tcPr>
          <w:p>
            <w:pPr>
              <w:widowControl/>
              <w:spacing w:after="0" w:line="252" w:lineRule="auto"/>
            </w:pPr>
            <w:r>
              <w:rPr>
                <w:rFonts w:ascii="Aptos" w:hAnsi="Aptos"/>
                <w:sz w:val="18"/>
              </w:rPr>
              <w:t>Končna predstavitev rezultatov; objava povzetkov, publikacij, dokumentacije in ustreznih podatkov oziroma modela; posodobitev projektne strani; nadaljnje širjenje rezultatov prek IJS, H2LLab in znanstvenih mrež.</w:t>
            </w:r>
          </w:p>
        </w:tc>
      </w:tr>
      <w:tr>
        <w:trPr/>
        <w:tc>
          <w:tcPr>
            <w:tcW w:type="dxa" w:w="2041"/>
            <w:tcMar>
              <w:top w:w="100" w:type="dxa"/>
              <w:start w:w="120" w:type="dxa"/>
              <w:bottom w:w="100" w:type="dxa"/>
              <w:end w:w="120" w:type="dxa"/>
            </w:tcMar>
            <w:vAlign w:val="center"/>
            <w:shd w:fill="F5F7FA"/>
          </w:tcPr>
          <w:p>
            <w:pPr>
              <w:widowControl/>
              <w:spacing w:after="0" w:line="252" w:lineRule="auto"/>
            </w:pPr>
            <w:r>
              <w:rPr>
                <w:rFonts w:ascii="Aptos" w:hAnsi="Aptos"/>
                <w:sz w:val="18"/>
              </w:rPr>
              <w:t>Ves čas projekta</w:t>
            </w:r>
          </w:p>
        </w:tc>
        <w:tc>
          <w:tcPr>
            <w:tcW w:type="dxa" w:w="1984"/>
            <w:tcMar>
              <w:top w:w="100" w:type="dxa"/>
              <w:start w:w="120" w:type="dxa"/>
              <w:bottom w:w="100" w:type="dxa"/>
              <w:end w:w="120" w:type="dxa"/>
            </w:tcMar>
            <w:vAlign w:val="center"/>
            <w:shd w:fill="F5F7FA"/>
          </w:tcPr>
          <w:p>
            <w:pPr>
              <w:widowControl/>
              <w:spacing w:after="0" w:line="252" w:lineRule="auto"/>
            </w:pPr>
            <w:r>
              <w:rPr>
                <w:rFonts w:ascii="Aptos" w:hAnsi="Aptos"/>
                <w:sz w:val="18"/>
              </w:rPr>
              <w:t>Sprotno komuniciranje</w:t>
            </w:r>
          </w:p>
        </w:tc>
        <w:tc>
          <w:tcPr>
            <w:tcW w:type="dxa" w:w="5499"/>
            <w:tcMar>
              <w:top w:w="100" w:type="dxa"/>
              <w:start w:w="120" w:type="dxa"/>
              <w:bottom w:w="100" w:type="dxa"/>
              <w:end w:w="120" w:type="dxa"/>
            </w:tcMar>
            <w:vAlign w:val="center"/>
            <w:shd w:fill="F5F7FA"/>
          </w:tcPr>
          <w:p>
            <w:pPr>
              <w:widowControl/>
              <w:spacing w:after="0" w:line="252" w:lineRule="auto"/>
            </w:pPr>
            <w:r>
              <w:rPr>
                <w:rFonts w:ascii="Aptos" w:hAnsi="Aptos"/>
                <w:sz w:val="18"/>
              </w:rPr>
              <w:t>Posodabljanje projektne strani ob pomembnih vsebinskih novostih; odzivanje na relevantna povabila; spremljanje kazalnikov; posodobitev načrta, če se spremenijo ciljne skupine, strategija ali kanali.</w:t>
            </w:r>
          </w:p>
        </w:tc>
      </w:tr>
    </w:tbl>
    <w:p>
      <w:pPr>
        <w:spacing w:after="0"/>
      </w:pPr>
    </w:p>
    <w:p>
      <w:pPr>
        <w:pStyle w:val="Heading1"/>
        <w:keepNext/>
      </w:pPr>
      <w:r>
        <w:t>6. Odgovornosti</w:t>
      </w:r>
    </w:p>
    <w:p>
      <w:pPr>
        <w:spacing w:after="120" w:line="264" w:lineRule="auto"/>
      </w:pPr>
      <w:r>
        <w:rPr>
          <w:rFonts w:ascii="Aptos" w:hAnsi="Aptos"/>
        </w:rPr>
        <w:t>Ker projekt nima formalnih partnerjev in ga na IJS izvaja vodja projekta, je odgovornost za koordinacijo in večino izvedbe komunikacijskih aktivnosti osredotočena pri vodji projekta. Po potrebi se vključijo pristojne službe in obstoječi komunikacijski kanali IJS.</w:t>
      </w:r>
    </w:p>
    <w:tbl>
      <w:tblPr>
        <w:tblStyle w:val="TableGrid"/>
        <w:tblW w:type="auto" w:w="0"/>
        <w:jc w:val="center"/>
        <w:tblLayout w:type="fixed"/>
        <w:tblLook w:firstColumn="1" w:firstRow="1" w:lastColumn="0" w:lastRow="0" w:noHBand="0" w:noVBand="1" w:val="04A0"/>
      </w:tblPr>
      <w:tblGrid>
        <w:gridCol w:w="4762"/>
        <w:gridCol w:w="4762"/>
      </w:tblGrid>
      <w:tr>
        <w:trPr>
          <w:tblHeader w:val="true"/>
        </w:trPr>
        <w:tc>
          <w:tcPr>
            <w:tcW w:type="dxa" w:w="2835"/>
            <w:shd w:fill="1F4E79"/>
            <w:tcMar>
              <w:top w:w="100" w:type="dxa"/>
              <w:start w:w="120" w:type="dxa"/>
              <w:bottom w:w="100" w:type="dxa"/>
              <w:end w:w="120" w:type="dxa"/>
            </w:tcMar>
            <w:vAlign w:val="center"/>
          </w:tcPr>
          <w:p>
            <w:pPr>
              <w:widowControl/>
              <w:spacing w:after="0"/>
              <w:jc w:val="left"/>
            </w:pPr>
            <w:r>
              <w:rPr>
                <w:rFonts w:ascii="Aptos" w:hAnsi="Aptos"/>
                <w:b/>
                <w:color w:val="FFFFFF"/>
                <w:sz w:val="19"/>
              </w:rPr>
              <w:t>Vloga</w:t>
            </w:r>
          </w:p>
        </w:tc>
        <w:tc>
          <w:tcPr>
            <w:tcW w:type="dxa" w:w="6690"/>
            <w:shd w:fill="1F4E79"/>
            <w:tcMar>
              <w:top w:w="100" w:type="dxa"/>
              <w:start w:w="120" w:type="dxa"/>
              <w:bottom w:w="100" w:type="dxa"/>
              <w:end w:w="120" w:type="dxa"/>
            </w:tcMar>
            <w:vAlign w:val="center"/>
          </w:tcPr>
          <w:p>
            <w:pPr>
              <w:widowControl/>
              <w:spacing w:after="0"/>
              <w:jc w:val="left"/>
            </w:pPr>
            <w:r>
              <w:rPr>
                <w:rFonts w:ascii="Aptos" w:hAnsi="Aptos"/>
                <w:b/>
                <w:color w:val="FFFFFF"/>
                <w:sz w:val="19"/>
              </w:rPr>
              <w:t>Odgovornost</w:t>
            </w:r>
          </w:p>
        </w:tc>
      </w:tr>
      <w:tr>
        <w:trPr/>
        <w:tc>
          <w:tcPr>
            <w:tcW w:type="dxa" w:w="2835"/>
            <w:tcMar>
              <w:top w:w="100" w:type="dxa"/>
              <w:start w:w="120" w:type="dxa"/>
              <w:bottom w:w="100" w:type="dxa"/>
              <w:end w:w="120" w:type="dxa"/>
            </w:tcMar>
            <w:vAlign w:val="center"/>
          </w:tcPr>
          <w:p>
            <w:pPr>
              <w:widowControl/>
              <w:spacing w:after="0" w:line="252" w:lineRule="auto"/>
            </w:pPr>
            <w:r>
              <w:rPr>
                <w:rFonts w:ascii="Aptos" w:hAnsi="Aptos"/>
                <w:sz w:val="18"/>
              </w:rPr>
              <w:t>Vodja projekta</w:t>
            </w:r>
          </w:p>
        </w:tc>
        <w:tc>
          <w:tcPr>
            <w:tcW w:type="dxa" w:w="6690"/>
            <w:tcMar>
              <w:top w:w="100" w:type="dxa"/>
              <w:start w:w="120" w:type="dxa"/>
              <w:bottom w:w="100" w:type="dxa"/>
              <w:end w:w="120" w:type="dxa"/>
            </w:tcMar>
            <w:vAlign w:val="center"/>
          </w:tcPr>
          <w:p>
            <w:pPr>
              <w:widowControl/>
              <w:spacing w:after="0" w:line="252" w:lineRule="auto"/>
            </w:pPr>
            <w:r>
              <w:rPr>
                <w:rFonts w:ascii="Aptos" w:hAnsi="Aptos"/>
                <w:sz w:val="18"/>
              </w:rPr>
              <w:t>Načrtovanje in koordinacija komuniciranja; priprava in strokovni pregled vsebin; komuniciranje z deležniki; dogodki; znanstvene objave in predstavitve; spremljanje kazalnikov; posodabljanje načrta.</w:t>
            </w:r>
          </w:p>
        </w:tc>
      </w:tr>
      <w:tr>
        <w:trPr/>
        <w:tc>
          <w:tcPr>
            <w:tcW w:type="dxa" w:w="2835"/>
            <w:tcMar>
              <w:top w:w="100" w:type="dxa"/>
              <w:start w:w="120" w:type="dxa"/>
              <w:bottom w:w="100" w:type="dxa"/>
              <w:end w:w="120" w:type="dxa"/>
            </w:tcMar>
            <w:vAlign w:val="center"/>
            <w:shd w:fill="F5F7FA"/>
          </w:tcPr>
          <w:p>
            <w:pPr>
              <w:widowControl/>
              <w:spacing w:after="0" w:line="252" w:lineRule="auto"/>
            </w:pPr>
            <w:r>
              <w:rPr>
                <w:rFonts w:ascii="Aptos" w:hAnsi="Aptos"/>
                <w:sz w:val="18"/>
              </w:rPr>
              <w:t>Pristojne službe in komunikacijski kanali IJS</w:t>
            </w:r>
          </w:p>
        </w:tc>
        <w:tc>
          <w:tcPr>
            <w:tcW w:type="dxa" w:w="6690"/>
            <w:tcMar>
              <w:top w:w="100" w:type="dxa"/>
              <w:start w:w="120" w:type="dxa"/>
              <w:bottom w:w="100" w:type="dxa"/>
              <w:end w:w="120" w:type="dxa"/>
            </w:tcMar>
            <w:vAlign w:val="center"/>
            <w:shd w:fill="F5F7FA"/>
          </w:tcPr>
          <w:p>
            <w:pPr>
              <w:widowControl/>
              <w:spacing w:after="0" w:line="252" w:lineRule="auto"/>
            </w:pPr>
            <w:r>
              <w:rPr>
                <w:rFonts w:ascii="Aptos" w:hAnsi="Aptos"/>
                <w:sz w:val="18"/>
              </w:rPr>
              <w:t>Tehnična ali uredniška podpora pri objavi vsebin, institucionalnem komuniciranju, odprtem dostopu in drugih nalogah v okviru njihovih pristojnosti.</w:t>
            </w:r>
          </w:p>
        </w:tc>
      </w:tr>
      <w:tr>
        <w:trPr/>
        <w:tc>
          <w:tcPr>
            <w:tcW w:type="dxa" w:w="2835"/>
            <w:tcMar>
              <w:top w:w="100" w:type="dxa"/>
              <w:start w:w="120" w:type="dxa"/>
              <w:bottom w:w="100" w:type="dxa"/>
              <w:end w:w="120" w:type="dxa"/>
            </w:tcMar>
            <w:vAlign w:val="center"/>
          </w:tcPr>
          <w:p>
            <w:pPr>
              <w:widowControl/>
              <w:spacing w:after="0" w:line="252" w:lineRule="auto"/>
            </w:pPr>
            <w:r>
              <w:rPr>
                <w:rFonts w:ascii="Aptos" w:hAnsi="Aptos"/>
                <w:sz w:val="18"/>
              </w:rPr>
              <w:t>H2LLab in raziskovalna skupina</w:t>
            </w:r>
          </w:p>
        </w:tc>
        <w:tc>
          <w:tcPr>
            <w:tcW w:type="dxa" w:w="6690"/>
            <w:tcMar>
              <w:top w:w="100" w:type="dxa"/>
              <w:start w:w="120" w:type="dxa"/>
              <w:bottom w:w="100" w:type="dxa"/>
              <w:end w:w="120" w:type="dxa"/>
            </w:tcMar>
            <w:vAlign w:val="center"/>
          </w:tcPr>
          <w:p>
            <w:pPr>
              <w:widowControl/>
              <w:spacing w:after="0" w:line="252" w:lineRule="auto"/>
            </w:pPr>
            <w:r>
              <w:rPr>
                <w:rFonts w:ascii="Aptos" w:hAnsi="Aptos"/>
                <w:sz w:val="18"/>
              </w:rPr>
              <w:t>Širjenje relevantnih objav, podpora pri doseganju strokovnih in participativnih mrež ter povezovanje rezultatov z drugimi aktivnostmi.</w:t>
            </w:r>
          </w:p>
        </w:tc>
      </w:tr>
      <w:tr>
        <w:trPr/>
        <w:tc>
          <w:tcPr>
            <w:tcW w:type="dxa" w:w="2835"/>
            <w:tcMar>
              <w:top w:w="100" w:type="dxa"/>
              <w:start w:w="120" w:type="dxa"/>
              <w:bottom w:w="100" w:type="dxa"/>
              <w:end w:w="120" w:type="dxa"/>
            </w:tcMar>
            <w:vAlign w:val="center"/>
            <w:shd w:fill="F5F7FA"/>
          </w:tcPr>
          <w:p>
            <w:pPr>
              <w:widowControl/>
              <w:spacing w:after="0" w:line="252" w:lineRule="auto"/>
            </w:pPr>
            <w:r>
              <w:rPr>
                <w:rFonts w:ascii="Aptos" w:hAnsi="Aptos"/>
                <w:sz w:val="18"/>
              </w:rPr>
              <w:t>Zunanje sodelujoče pobude in organizacije</w:t>
            </w:r>
          </w:p>
        </w:tc>
        <w:tc>
          <w:tcPr>
            <w:tcW w:type="dxa" w:w="6690"/>
            <w:tcMar>
              <w:top w:w="100" w:type="dxa"/>
              <w:start w:w="120" w:type="dxa"/>
              <w:bottom w:w="100" w:type="dxa"/>
              <w:end w:w="120" w:type="dxa"/>
            </w:tcMar>
            <w:vAlign w:val="center"/>
            <w:shd w:fill="F5F7FA"/>
          </w:tcPr>
          <w:p>
            <w:pPr>
              <w:widowControl/>
              <w:spacing w:after="0" w:line="252" w:lineRule="auto"/>
            </w:pPr>
            <w:r>
              <w:rPr>
                <w:rFonts w:ascii="Aptos" w:hAnsi="Aptos"/>
                <w:sz w:val="18"/>
              </w:rPr>
              <w:t>Prostovoljno medsebojno obveščanje in širjenje dogovorjenih vsebin. Sodelovanje ne pomeni formalnega partnerstva ali prenosa odgovornosti za izvajanje načrta.</w:t>
            </w:r>
          </w:p>
        </w:tc>
      </w:tr>
    </w:tbl>
    <w:p>
      <w:pPr>
        <w:spacing w:after="0"/>
      </w:pPr>
    </w:p>
    <w:p>
      <w:pPr>
        <w:pStyle w:val="Heading1"/>
        <w:keepNext/>
      </w:pPr>
      <w:r>
        <w:t>7. Kazalniki uspešnosti</w:t>
      </w:r>
    </w:p>
    <w:p>
      <w:pPr>
        <w:spacing w:after="120" w:line="264" w:lineRule="auto"/>
      </w:pPr>
      <w:r>
        <w:rPr>
          <w:rFonts w:ascii="Aptos" w:hAnsi="Aptos"/>
        </w:rPr>
        <w:t>Kazalniki so zastavljeni sorazmerno z dveletnim temeljnim projektom z enim izvajalcem. Spremljali se bodo sproti in ovrednotili najmanj ob vmesnem ter zaključnem poročanju.</w:t>
      </w:r>
    </w:p>
    <w:tbl>
      <w:tblPr>
        <w:tblStyle w:val="TableGrid"/>
        <w:tblW w:type="auto" w:w="0"/>
        <w:jc w:val="center"/>
        <w:tblLayout w:type="fixed"/>
        <w:tblLook w:firstColumn="1" w:firstRow="1" w:lastColumn="0" w:lastRow="0" w:noHBand="0" w:noVBand="1" w:val="04A0"/>
      </w:tblPr>
      <w:tblGrid>
        <w:gridCol w:w="3175"/>
        <w:gridCol w:w="3175"/>
        <w:gridCol w:w="3175"/>
      </w:tblGrid>
      <w:tr>
        <w:trPr>
          <w:tblHeader w:val="true"/>
        </w:trPr>
        <w:tc>
          <w:tcPr>
            <w:tcW w:type="dxa" w:w="2268"/>
            <w:shd w:fill="1F4E79"/>
            <w:tcMar>
              <w:top w:w="100" w:type="dxa"/>
              <w:start w:w="120" w:type="dxa"/>
              <w:bottom w:w="100" w:type="dxa"/>
              <w:end w:w="120" w:type="dxa"/>
            </w:tcMar>
            <w:vAlign w:val="center"/>
          </w:tcPr>
          <w:p>
            <w:pPr>
              <w:widowControl/>
              <w:spacing w:after="0"/>
              <w:jc w:val="left"/>
            </w:pPr>
            <w:r>
              <w:rPr>
                <w:rFonts w:ascii="Aptos" w:hAnsi="Aptos"/>
                <w:b/>
                <w:color w:val="FFFFFF"/>
                <w:sz w:val="19"/>
              </w:rPr>
              <w:t>Področje</w:t>
            </w:r>
          </w:p>
        </w:tc>
        <w:tc>
          <w:tcPr>
            <w:tcW w:type="dxa" w:w="4139"/>
            <w:shd w:fill="1F4E79"/>
            <w:tcMar>
              <w:top w:w="100" w:type="dxa"/>
              <w:start w:w="120" w:type="dxa"/>
              <w:bottom w:w="100" w:type="dxa"/>
              <w:end w:w="120" w:type="dxa"/>
            </w:tcMar>
            <w:vAlign w:val="center"/>
          </w:tcPr>
          <w:p>
            <w:pPr>
              <w:widowControl/>
              <w:spacing w:after="0"/>
              <w:jc w:val="left"/>
            </w:pPr>
            <w:r>
              <w:rPr>
                <w:rFonts w:ascii="Aptos" w:hAnsi="Aptos"/>
                <w:b/>
                <w:color w:val="FFFFFF"/>
                <w:sz w:val="19"/>
              </w:rPr>
              <w:t>Ciljna vrednost</w:t>
            </w:r>
          </w:p>
        </w:tc>
        <w:tc>
          <w:tcPr>
            <w:tcW w:type="dxa" w:w="3118"/>
            <w:shd w:fill="1F4E79"/>
            <w:tcMar>
              <w:top w:w="100" w:type="dxa"/>
              <w:start w:w="120" w:type="dxa"/>
              <w:bottom w:w="100" w:type="dxa"/>
              <w:end w:w="120" w:type="dxa"/>
            </w:tcMar>
            <w:vAlign w:val="center"/>
          </w:tcPr>
          <w:p>
            <w:pPr>
              <w:widowControl/>
              <w:spacing w:after="0"/>
              <w:jc w:val="left"/>
            </w:pPr>
            <w:r>
              <w:rPr>
                <w:rFonts w:ascii="Aptos" w:hAnsi="Aptos"/>
                <w:b/>
                <w:color w:val="FFFFFF"/>
                <w:sz w:val="19"/>
              </w:rPr>
              <w:t>Način spremljanja</w:t>
            </w:r>
          </w:p>
        </w:tc>
      </w:tr>
      <w:tr>
        <w:trPr/>
        <w:tc>
          <w:tcPr>
            <w:tcW w:type="dxa" w:w="2268"/>
            <w:tcMar>
              <w:top w:w="100" w:type="dxa"/>
              <w:start w:w="120" w:type="dxa"/>
              <w:bottom w:w="100" w:type="dxa"/>
              <w:end w:w="120" w:type="dxa"/>
            </w:tcMar>
            <w:vAlign w:val="center"/>
          </w:tcPr>
          <w:p>
            <w:pPr>
              <w:widowControl/>
              <w:spacing w:after="0" w:line="252" w:lineRule="auto"/>
            </w:pPr>
            <w:r>
              <w:rPr>
                <w:rFonts w:ascii="Aptos" w:hAnsi="Aptos"/>
                <w:sz w:val="18"/>
              </w:rPr>
              <w:t>Znanstveni rezultati</w:t>
            </w:r>
          </w:p>
        </w:tc>
        <w:tc>
          <w:tcPr>
            <w:tcW w:type="dxa" w:w="4139"/>
            <w:tcMar>
              <w:top w:w="100" w:type="dxa"/>
              <w:start w:w="120" w:type="dxa"/>
              <w:bottom w:w="100" w:type="dxa"/>
              <w:end w:w="120" w:type="dxa"/>
            </w:tcMar>
            <w:vAlign w:val="center"/>
          </w:tcPr>
          <w:p>
            <w:pPr>
              <w:widowControl/>
              <w:spacing w:after="0" w:line="252" w:lineRule="auto"/>
            </w:pPr>
            <w:r>
              <w:rPr>
                <w:rFonts w:ascii="Aptos" w:hAnsi="Aptos"/>
                <w:sz w:val="18"/>
              </w:rPr>
              <w:t>Najmanj 2 znanstvena prispevka, oddana v objavo ali objavljena do zaključka projekta oziroma neposredno po njem.</w:t>
            </w:r>
          </w:p>
        </w:tc>
        <w:tc>
          <w:tcPr>
            <w:tcW w:type="dxa" w:w="3118"/>
            <w:tcMar>
              <w:top w:w="100" w:type="dxa"/>
              <w:start w:w="120" w:type="dxa"/>
              <w:bottom w:w="100" w:type="dxa"/>
              <w:end w:w="120" w:type="dxa"/>
            </w:tcMar>
            <w:vAlign w:val="center"/>
          </w:tcPr>
          <w:p>
            <w:pPr>
              <w:widowControl/>
              <w:spacing w:after="0" w:line="252" w:lineRule="auto"/>
            </w:pPr>
            <w:r>
              <w:rPr>
                <w:rFonts w:ascii="Aptos" w:hAnsi="Aptos"/>
                <w:sz w:val="18"/>
              </w:rPr>
              <w:t>Bibliografski zapisi, repozitoriji, povezave na projektni strani</w:t>
            </w:r>
          </w:p>
        </w:tc>
      </w:tr>
      <w:tr>
        <w:trPr/>
        <w:tc>
          <w:tcPr>
            <w:tcW w:type="dxa" w:w="2268"/>
            <w:tcMar>
              <w:top w:w="100" w:type="dxa"/>
              <w:start w:w="120" w:type="dxa"/>
              <w:bottom w:w="100" w:type="dxa"/>
              <w:end w:w="120" w:type="dxa"/>
            </w:tcMar>
            <w:vAlign w:val="center"/>
            <w:shd w:fill="F5F7FA"/>
          </w:tcPr>
          <w:p>
            <w:pPr>
              <w:widowControl/>
              <w:spacing w:after="0" w:line="252" w:lineRule="auto"/>
            </w:pPr>
            <w:r>
              <w:rPr>
                <w:rFonts w:ascii="Aptos" w:hAnsi="Aptos"/>
                <w:sz w:val="18"/>
              </w:rPr>
              <w:t>Znanstvene in strokovne predstavitve</w:t>
            </w:r>
          </w:p>
        </w:tc>
        <w:tc>
          <w:tcPr>
            <w:tcW w:type="dxa" w:w="4139"/>
            <w:tcMar>
              <w:top w:w="100" w:type="dxa"/>
              <w:start w:w="120" w:type="dxa"/>
              <w:bottom w:w="100" w:type="dxa"/>
              <w:end w:w="120" w:type="dxa"/>
            </w:tcMar>
            <w:vAlign w:val="center"/>
            <w:shd w:fill="F5F7FA"/>
          </w:tcPr>
          <w:p>
            <w:pPr>
              <w:widowControl/>
              <w:spacing w:after="0" w:line="252" w:lineRule="auto"/>
            </w:pPr>
            <w:r>
              <w:rPr>
                <w:rFonts w:ascii="Aptos" w:hAnsi="Aptos"/>
                <w:sz w:val="18"/>
              </w:rPr>
              <w:t>Najmanj 3 predstavitve na konferencah, simpozijih ali strokovnih dogodkih.</w:t>
            </w:r>
          </w:p>
        </w:tc>
        <w:tc>
          <w:tcPr>
            <w:tcW w:type="dxa" w:w="3118"/>
            <w:tcMar>
              <w:top w:w="100" w:type="dxa"/>
              <w:start w:w="120" w:type="dxa"/>
              <w:bottom w:w="100" w:type="dxa"/>
              <w:end w:w="120" w:type="dxa"/>
            </w:tcMar>
            <w:vAlign w:val="center"/>
            <w:shd w:fill="F5F7FA"/>
          </w:tcPr>
          <w:p>
            <w:pPr>
              <w:widowControl/>
              <w:spacing w:after="0" w:line="252" w:lineRule="auto"/>
            </w:pPr>
            <w:r>
              <w:rPr>
                <w:rFonts w:ascii="Aptos" w:hAnsi="Aptos"/>
                <w:sz w:val="18"/>
              </w:rPr>
              <w:t>Programi dogodkov, predstavitve, poročila</w:t>
            </w:r>
          </w:p>
        </w:tc>
      </w:tr>
      <w:tr>
        <w:trPr/>
        <w:tc>
          <w:tcPr>
            <w:tcW w:type="dxa" w:w="2268"/>
            <w:tcMar>
              <w:top w:w="100" w:type="dxa"/>
              <w:start w:w="120" w:type="dxa"/>
              <w:bottom w:w="100" w:type="dxa"/>
              <w:end w:w="120" w:type="dxa"/>
            </w:tcMar>
            <w:vAlign w:val="center"/>
          </w:tcPr>
          <w:p>
            <w:pPr>
              <w:widowControl/>
              <w:spacing w:after="0" w:line="252" w:lineRule="auto"/>
            </w:pPr>
            <w:r>
              <w:rPr>
                <w:rFonts w:ascii="Aptos" w:hAnsi="Aptos"/>
                <w:sz w:val="18"/>
              </w:rPr>
              <w:t>Participativne in javne aktivnosti</w:t>
            </w:r>
          </w:p>
        </w:tc>
        <w:tc>
          <w:tcPr>
            <w:tcW w:type="dxa" w:w="4139"/>
            <w:tcMar>
              <w:top w:w="100" w:type="dxa"/>
              <w:start w:w="120" w:type="dxa"/>
              <w:bottom w:w="100" w:type="dxa"/>
              <w:end w:w="120" w:type="dxa"/>
            </w:tcMar>
            <w:vAlign w:val="center"/>
          </w:tcPr>
          <w:p>
            <w:pPr>
              <w:widowControl/>
              <w:spacing w:after="0" w:line="252" w:lineRule="auto"/>
            </w:pPr>
            <w:r>
              <w:rPr>
                <w:rFonts w:ascii="Aptos" w:hAnsi="Aptos"/>
                <w:sz w:val="18"/>
              </w:rPr>
              <w:t>Najmanj 3 participativne delavnice oziroma javni ali strokovni dogodki, povezani z razvojem, preizkušanjem ali predstavitvijo modela.</w:t>
            </w:r>
          </w:p>
        </w:tc>
        <w:tc>
          <w:tcPr>
            <w:tcW w:type="dxa" w:w="3118"/>
            <w:tcMar>
              <w:top w:w="100" w:type="dxa"/>
              <w:start w:w="120" w:type="dxa"/>
              <w:bottom w:w="100" w:type="dxa"/>
              <w:end w:w="120" w:type="dxa"/>
            </w:tcMar>
            <w:vAlign w:val="center"/>
          </w:tcPr>
          <w:p>
            <w:pPr>
              <w:widowControl/>
              <w:spacing w:after="0" w:line="252" w:lineRule="auto"/>
            </w:pPr>
            <w:r>
              <w:rPr>
                <w:rFonts w:ascii="Aptos" w:hAnsi="Aptos"/>
                <w:sz w:val="18"/>
              </w:rPr>
              <w:t>Seznami udeležbe, zapisniki, gradiva in odzivi</w:t>
            </w:r>
          </w:p>
        </w:tc>
      </w:tr>
      <w:tr>
        <w:trPr/>
        <w:tc>
          <w:tcPr>
            <w:tcW w:type="dxa" w:w="2268"/>
            <w:tcMar>
              <w:top w:w="100" w:type="dxa"/>
              <w:start w:w="120" w:type="dxa"/>
              <w:bottom w:w="100" w:type="dxa"/>
              <w:end w:w="120" w:type="dxa"/>
            </w:tcMar>
            <w:vAlign w:val="center"/>
            <w:shd w:fill="F5F7FA"/>
          </w:tcPr>
          <w:p>
            <w:pPr>
              <w:widowControl/>
              <w:spacing w:after="0" w:line="252" w:lineRule="auto"/>
            </w:pPr>
            <w:r>
              <w:rPr>
                <w:rFonts w:ascii="Aptos" w:hAnsi="Aptos"/>
                <w:sz w:val="18"/>
              </w:rPr>
              <w:t>Spletne vsebine</w:t>
            </w:r>
          </w:p>
        </w:tc>
        <w:tc>
          <w:tcPr>
            <w:tcW w:type="dxa" w:w="4139"/>
            <w:tcMar>
              <w:top w:w="100" w:type="dxa"/>
              <w:start w:w="120" w:type="dxa"/>
              <w:bottom w:w="100" w:type="dxa"/>
              <w:end w:w="120" w:type="dxa"/>
            </w:tcMar>
            <w:vAlign w:val="center"/>
            <w:shd w:fill="F5F7FA"/>
          </w:tcPr>
          <w:p>
            <w:pPr>
              <w:widowControl/>
              <w:spacing w:after="0" w:line="252" w:lineRule="auto"/>
            </w:pPr>
            <w:r>
              <w:rPr>
                <w:rFonts w:ascii="Aptos" w:hAnsi="Aptos"/>
                <w:sz w:val="18"/>
              </w:rPr>
              <w:t>Najmanj 6 vsebinskih novic ali objav na projektni strani oziroma kanalih IJS, H2LLab ali raziskovalne skupine.</w:t>
            </w:r>
          </w:p>
        </w:tc>
        <w:tc>
          <w:tcPr>
            <w:tcW w:type="dxa" w:w="3118"/>
            <w:tcMar>
              <w:top w:w="100" w:type="dxa"/>
              <w:start w:w="120" w:type="dxa"/>
              <w:bottom w:w="100" w:type="dxa"/>
              <w:end w:w="120" w:type="dxa"/>
            </w:tcMar>
            <w:vAlign w:val="center"/>
            <w:shd w:fill="F5F7FA"/>
          </w:tcPr>
          <w:p>
            <w:pPr>
              <w:widowControl/>
              <w:spacing w:after="0" w:line="252" w:lineRule="auto"/>
            </w:pPr>
            <w:r>
              <w:rPr>
                <w:rFonts w:ascii="Aptos" w:hAnsi="Aptos"/>
                <w:sz w:val="18"/>
              </w:rPr>
              <w:t>Objavljene povezave in osnovni podatki o dosegu, kadar so na voljo</w:t>
            </w:r>
          </w:p>
        </w:tc>
      </w:tr>
      <w:tr>
        <w:trPr/>
        <w:tc>
          <w:tcPr>
            <w:tcW w:type="dxa" w:w="2268"/>
            <w:tcMar>
              <w:top w:w="100" w:type="dxa"/>
              <w:start w:w="120" w:type="dxa"/>
              <w:bottom w:w="100" w:type="dxa"/>
              <w:end w:w="120" w:type="dxa"/>
            </w:tcMar>
            <w:vAlign w:val="center"/>
          </w:tcPr>
          <w:p>
            <w:pPr>
              <w:widowControl/>
              <w:spacing w:after="0" w:line="252" w:lineRule="auto"/>
            </w:pPr>
            <w:r>
              <w:rPr>
                <w:rFonts w:ascii="Aptos" w:hAnsi="Aptos"/>
                <w:sz w:val="18"/>
              </w:rPr>
              <w:t>Poljudna ali medijska objava</w:t>
            </w:r>
          </w:p>
        </w:tc>
        <w:tc>
          <w:tcPr>
            <w:tcW w:type="dxa" w:w="4139"/>
            <w:tcMar>
              <w:top w:w="100" w:type="dxa"/>
              <w:start w:w="120" w:type="dxa"/>
              <w:bottom w:w="100" w:type="dxa"/>
              <w:end w:w="120" w:type="dxa"/>
            </w:tcMar>
            <w:vAlign w:val="center"/>
          </w:tcPr>
          <w:p>
            <w:pPr>
              <w:widowControl/>
              <w:spacing w:after="0" w:line="252" w:lineRule="auto"/>
            </w:pPr>
            <w:r>
              <w:rPr>
                <w:rFonts w:ascii="Aptos" w:hAnsi="Aptos"/>
                <w:sz w:val="18"/>
              </w:rPr>
              <w:t>Najmanj 1 poljudni, intervjujski ali medijski prispevek.</w:t>
            </w:r>
          </w:p>
        </w:tc>
        <w:tc>
          <w:tcPr>
            <w:tcW w:type="dxa" w:w="3118"/>
            <w:tcMar>
              <w:top w:w="100" w:type="dxa"/>
              <w:start w:w="120" w:type="dxa"/>
              <w:bottom w:w="100" w:type="dxa"/>
              <w:end w:w="120" w:type="dxa"/>
            </w:tcMar>
            <w:vAlign w:val="center"/>
          </w:tcPr>
          <w:p>
            <w:pPr>
              <w:widowControl/>
              <w:spacing w:after="0" w:line="252" w:lineRule="auto"/>
            </w:pPr>
            <w:r>
              <w:rPr>
                <w:rFonts w:ascii="Aptos" w:hAnsi="Aptos"/>
                <w:sz w:val="18"/>
              </w:rPr>
              <w:t>Povezava, posnetek ali bibliografski zapis</w:t>
            </w:r>
          </w:p>
        </w:tc>
      </w:tr>
      <w:tr>
        <w:trPr/>
        <w:tc>
          <w:tcPr>
            <w:tcW w:type="dxa" w:w="2268"/>
            <w:tcMar>
              <w:top w:w="100" w:type="dxa"/>
              <w:start w:w="120" w:type="dxa"/>
              <w:bottom w:w="100" w:type="dxa"/>
              <w:end w:w="120" w:type="dxa"/>
            </w:tcMar>
            <w:vAlign w:val="center"/>
            <w:shd w:fill="F5F7FA"/>
          </w:tcPr>
          <w:p>
            <w:pPr>
              <w:widowControl/>
              <w:spacing w:after="0" w:line="252" w:lineRule="auto"/>
            </w:pPr>
            <w:r>
              <w:rPr>
                <w:rFonts w:ascii="Aptos" w:hAnsi="Aptos"/>
                <w:sz w:val="18"/>
              </w:rPr>
              <w:t>Končna predstavitev</w:t>
            </w:r>
          </w:p>
        </w:tc>
        <w:tc>
          <w:tcPr>
            <w:tcW w:type="dxa" w:w="4139"/>
            <w:tcMar>
              <w:top w:w="100" w:type="dxa"/>
              <w:start w:w="120" w:type="dxa"/>
              <w:bottom w:w="100" w:type="dxa"/>
              <w:end w:w="120" w:type="dxa"/>
            </w:tcMar>
            <w:vAlign w:val="center"/>
            <w:shd w:fill="F5F7FA"/>
          </w:tcPr>
          <w:p>
            <w:pPr>
              <w:widowControl/>
              <w:spacing w:after="0" w:line="252" w:lineRule="auto"/>
            </w:pPr>
            <w:r>
              <w:rPr>
                <w:rFonts w:ascii="Aptos" w:hAnsi="Aptos"/>
                <w:sz w:val="18"/>
              </w:rPr>
              <w:t>Najmanj 1 zaključna predstavitev glavnih rezultatov relevantnim deležnikom ali širši javnosti.</w:t>
            </w:r>
          </w:p>
        </w:tc>
        <w:tc>
          <w:tcPr>
            <w:tcW w:type="dxa" w:w="3118"/>
            <w:tcMar>
              <w:top w:w="100" w:type="dxa"/>
              <w:start w:w="120" w:type="dxa"/>
              <w:bottom w:w="100" w:type="dxa"/>
              <w:end w:w="120" w:type="dxa"/>
            </w:tcMar>
            <w:vAlign w:val="center"/>
            <w:shd w:fill="F5F7FA"/>
          </w:tcPr>
          <w:p>
            <w:pPr>
              <w:widowControl/>
              <w:spacing w:after="0" w:line="252" w:lineRule="auto"/>
            </w:pPr>
            <w:r>
              <w:rPr>
                <w:rFonts w:ascii="Aptos" w:hAnsi="Aptos"/>
                <w:sz w:val="18"/>
              </w:rPr>
              <w:t>Program, gradiva in udeležba</w:t>
            </w:r>
          </w:p>
        </w:tc>
      </w:tr>
      <w:tr>
        <w:trPr/>
        <w:tc>
          <w:tcPr>
            <w:tcW w:type="dxa" w:w="2268"/>
            <w:tcMar>
              <w:top w:w="100" w:type="dxa"/>
              <w:start w:w="120" w:type="dxa"/>
              <w:bottom w:w="100" w:type="dxa"/>
              <w:end w:w="120" w:type="dxa"/>
            </w:tcMar>
            <w:vAlign w:val="center"/>
          </w:tcPr>
          <w:p>
            <w:pPr>
              <w:widowControl/>
              <w:spacing w:after="0" w:line="252" w:lineRule="auto"/>
            </w:pPr>
            <w:r>
              <w:rPr>
                <w:rFonts w:ascii="Aptos" w:hAnsi="Aptos"/>
                <w:sz w:val="18"/>
              </w:rPr>
              <w:t>Odziv ciljnih skupin</w:t>
            </w:r>
          </w:p>
        </w:tc>
        <w:tc>
          <w:tcPr>
            <w:tcW w:type="dxa" w:w="4139"/>
            <w:tcMar>
              <w:top w:w="100" w:type="dxa"/>
              <w:start w:w="120" w:type="dxa"/>
              <w:bottom w:w="100" w:type="dxa"/>
              <w:end w:w="120" w:type="dxa"/>
            </w:tcMar>
            <w:vAlign w:val="center"/>
          </w:tcPr>
          <w:p>
            <w:pPr>
              <w:widowControl/>
              <w:spacing w:after="0" w:line="252" w:lineRule="auto"/>
            </w:pPr>
            <w:r>
              <w:rPr>
                <w:rFonts w:ascii="Aptos" w:hAnsi="Aptos"/>
                <w:sz w:val="18"/>
              </w:rPr>
              <w:t>Dokumentirani odzivi udeležencev ob ključnih participativnih aktivnostih ter njihova uporaba pri razvoju ali validaciji modela.</w:t>
            </w:r>
          </w:p>
        </w:tc>
        <w:tc>
          <w:tcPr>
            <w:tcW w:type="dxa" w:w="3118"/>
            <w:tcMar>
              <w:top w:w="100" w:type="dxa"/>
              <w:start w:w="120" w:type="dxa"/>
              <w:bottom w:w="100" w:type="dxa"/>
              <w:end w:w="120" w:type="dxa"/>
            </w:tcMar>
            <w:vAlign w:val="center"/>
          </w:tcPr>
          <w:p>
            <w:pPr>
              <w:widowControl/>
              <w:spacing w:after="0" w:line="252" w:lineRule="auto"/>
            </w:pPr>
            <w:r>
              <w:rPr>
                <w:rFonts w:ascii="Aptos" w:hAnsi="Aptos"/>
                <w:sz w:val="18"/>
              </w:rPr>
              <w:t>Zapisniki, evalvacijski vprašalniki, povzetki sprememb</w:t>
            </w:r>
          </w:p>
        </w:tc>
      </w:tr>
      <w:tr>
        <w:trPr/>
        <w:tc>
          <w:tcPr>
            <w:tcW w:type="dxa" w:w="2268"/>
            <w:tcMar>
              <w:top w:w="100" w:type="dxa"/>
              <w:start w:w="120" w:type="dxa"/>
              <w:bottom w:w="100" w:type="dxa"/>
              <w:end w:w="120" w:type="dxa"/>
            </w:tcMar>
            <w:vAlign w:val="center"/>
            <w:shd w:fill="F5F7FA"/>
          </w:tcPr>
          <w:p>
            <w:pPr>
              <w:widowControl/>
              <w:spacing w:after="0" w:line="252" w:lineRule="auto"/>
            </w:pPr>
            <w:r>
              <w:rPr>
                <w:rFonts w:ascii="Aptos" w:hAnsi="Aptos"/>
                <w:sz w:val="18"/>
              </w:rPr>
              <w:t>Odprti rezultati</w:t>
            </w:r>
          </w:p>
        </w:tc>
        <w:tc>
          <w:tcPr>
            <w:tcW w:type="dxa" w:w="4139"/>
            <w:tcMar>
              <w:top w:w="100" w:type="dxa"/>
              <w:start w:w="120" w:type="dxa"/>
              <w:bottom w:w="100" w:type="dxa"/>
              <w:end w:w="120" w:type="dxa"/>
            </w:tcMar>
            <w:vAlign w:val="center"/>
            <w:shd w:fill="F5F7FA"/>
          </w:tcPr>
          <w:p>
            <w:pPr>
              <w:widowControl/>
              <w:spacing w:after="0" w:line="252" w:lineRule="auto"/>
            </w:pPr>
            <w:r>
              <w:rPr>
                <w:rFonts w:ascii="Aptos" w:hAnsi="Aptos"/>
                <w:sz w:val="18"/>
              </w:rPr>
              <w:t>Objava ustreznih metapodatkov, dokumentacije, kode in anonimiziranih oziroma agregiranih podatkov skladno z NRRP.</w:t>
            </w:r>
          </w:p>
        </w:tc>
        <w:tc>
          <w:tcPr>
            <w:tcW w:type="dxa" w:w="3118"/>
            <w:tcMar>
              <w:top w:w="100" w:type="dxa"/>
              <w:start w:w="120" w:type="dxa"/>
              <w:bottom w:w="100" w:type="dxa"/>
              <w:end w:w="120" w:type="dxa"/>
            </w:tcMar>
            <w:vAlign w:val="center"/>
            <w:shd w:fill="F5F7FA"/>
          </w:tcPr>
          <w:p>
            <w:pPr>
              <w:widowControl/>
              <w:spacing w:after="0" w:line="252" w:lineRule="auto"/>
            </w:pPr>
            <w:r>
              <w:rPr>
                <w:rFonts w:ascii="Aptos" w:hAnsi="Aptos"/>
                <w:sz w:val="18"/>
              </w:rPr>
              <w:t>Repozitoriji, DOI in povezave na projektni strani</w:t>
            </w:r>
          </w:p>
        </w:tc>
      </w:tr>
    </w:tbl>
    <w:p>
      <w:pPr>
        <w:spacing w:after="0"/>
      </w:pPr>
    </w:p>
    <w:p>
      <w:pPr>
        <w:pStyle w:val="Heading1"/>
        <w:keepNext/>
      </w:pPr>
      <w:r>
        <w:t>8. Skladnost z zahtevami ARIS</w:t>
      </w:r>
    </w:p>
    <w:p>
      <w:pPr>
        <w:spacing w:after="120" w:line="264" w:lineRule="auto"/>
      </w:pPr>
      <w:r>
        <w:rPr>
          <w:rFonts w:ascii="Aptos" w:hAnsi="Aptos"/>
        </w:rPr>
        <w:t>Komunikacijski načrt in njegovo izvajanje bosta skladna z zahtevami ARIS, zlasti glede jasnega navajanja sofinanciranja ARIS pri objavah in dogodkih, diseminacije rezultatov raziskav, upoštevanja pravil odprtega dostopa ter etičnih načel raziskovalnega in javnega delovanja.</w:t>
      </w:r>
    </w:p>
    <w:p>
      <w:pPr>
        <w:spacing w:after="120" w:line="264" w:lineRule="auto"/>
      </w:pPr>
      <w:r>
        <w:rPr>
          <w:rFonts w:ascii="Aptos" w:hAnsi="Aptos"/>
        </w:rPr>
        <w:t>Pri komuniciranju bodo upoštevani tudi varstvo osebnih podatkov, pravice udeležencev, avtorske pravice in načela raziskovalne integritete. Osebni in drugi varovani podatki ne bodo javno objavljeni; kvalitativne ugotovitve bodo predstavljene anonimizirano ali agregirano. Uporaba imen, fotografij ali prepoznavnih izjav sodelujočih bo mogoča le na ustrezni pravni in etični podlagi.</w:t>
      </w:r>
    </w:p>
    <w:p>
      <w:pPr>
        <w:spacing w:after="120" w:line="264" w:lineRule="auto"/>
      </w:pPr>
      <w:r>
        <w:rPr>
          <w:rFonts w:ascii="Aptos" w:hAnsi="Aptos"/>
        </w:rPr>
        <w:t>Ta načrt bo objavljen v obliki PDF na projektni spletni strani. Če se med izvajanjem projekta bistveno spremenijo komunikacijska strategija, ciljne skupine ali kanali, bo pripravljena in objavljena nova oštevilčena različica dokumenta.</w:t>
      </w:r>
    </w:p>
    <w:sectPr w:rsidR="00FC693F" w:rsidRPr="0006063C" w:rsidSect="00034616">
      <w:headerReference w:type="default" r:id="rId9"/>
      <w:footerReference w:type="default" r:id="rId10"/>
      <w:pgSz w:w="11906" w:h="16838"/>
      <w:pgMar w:top="1134" w:right="1134" w:bottom="1077" w:left="1247" w:header="510" w:footer="51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jc w:val="center"/>
    </w:pPr>
    <w:r>
      <w:rPr>
        <w:rFonts w:ascii="Aptos" w:hAnsi="Aptos"/>
        <w:color w:val="595959"/>
        <w:sz w:val="17"/>
      </w:rPr>
      <w:t>Institut »Jožef Stefan«  •  Z6-70200</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right"/>
    </w:pPr>
    <w:r>
      <w:rPr>
        <w:rFonts w:ascii="Aptos" w:hAnsi="Aptos"/>
        <w:color w:val="595959"/>
        <w:sz w:val="17"/>
      </w:rPr>
      <w:t>PABM-FLOOD  |  Komunikacijski načrt</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Display" w:hAnsi="Aptos Display"/>
      <w:b/>
      <w:bCs/>
      <w:color w:val="1F4E79"/>
      <w:sz w:val="30"/>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Display" w:hAnsi="Aptos Display"/>
      <w:b/>
      <w:bCs/>
      <w:color w:val="1F4E79"/>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Display" w:hAnsi="Aptos Display"/>
      <w:b/>
      <w:bCs/>
      <w:color w:val="17365D"/>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80"/>
      <w:contextualSpacing/>
    </w:pPr>
    <w:rPr>
      <w:rFonts w:ascii="Aptos" w:hAnsi="Aptos"/>
      <w:sz w:val="21"/>
    </w:rPr>
  </w:style>
  <w:style w:type="paragraph" w:styleId="ListBullet2">
    <w:name w:val="List Bullet 2"/>
    <w:basedOn w:val="Normal"/>
    <w:uiPriority w:val="99"/>
    <w:unhideWhenUsed/>
    <w:rsid w:val="00326F90"/>
    <w:pPr>
      <w:numPr>
        <w:numId w:val="2"/>
      </w:numPr>
      <w:spacing w:after="80"/>
      <w:contextualSpacing/>
    </w:pPr>
    <w:rPr>
      <w:rFonts w:ascii="Aptos" w:hAnsi="Aptos"/>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Komunikacijski načrt projekta PABM-FLOOD</dc:title>
  <dc:subject>ARIS Z6-70200</dc:subject>
  <dc:creator>Rok Novak</dc:creator>
  <cp:keywords>PABM-FLOOD, ARIS, komunikacijski načrt, participativno agentno modeliranje, poplave</cp:keywords>
  <dc:description>generated by python-docx</dc:description>
  <cp:lastModifiedBy/>
  <cp:revision>1</cp:revision>
  <dcterms:created xsi:type="dcterms:W3CDTF">2013-12-23T23:15:00Z</dcterms:created>
  <dcterms:modified xsi:type="dcterms:W3CDTF">2013-12-23T23:15:00Z</dcterms:modified>
  <cp:category/>
</cp:coreProperties>
</file>